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s14y8lmhywj" w:id="0"/>
      <w:bookmarkEnd w:id="0"/>
      <w:r w:rsidDel="00000000" w:rsidR="00000000" w:rsidRPr="00000000">
        <w:rPr>
          <w:rFonts w:ascii="Arial Unicode MS" w:cs="Arial Unicode MS" w:eastAsia="Arial Unicode MS" w:hAnsi="Arial Unicode MS"/>
          <w:b w:val="1"/>
          <w:bCs w:val="1"/>
          <w:sz w:val="44"/>
          <w:szCs w:val="44"/>
          <w:rtl w:val="0"/>
        </w:rPr>
        <w:t xml:space="preserve">定款作成支援契約書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●●株式会社（以下「甲」という。）と、●●（行政書士・専門家等）（以下「乙」という。）は、定款作成支援業務に関し、次のとおり契約（以下「本契約」という。）を締結する。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8nlykoh2sd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本契約は、甲が新規法人設立又は定款変更等のために必要となる定款の作成について、乙が専門的知見に基づき支援業務を提供することを目的とする。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0p288siyp95"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乙は、甲に対し、次の業務を行う。</w:t>
        <w:br w:type="textWrapping"/>
        <w:t xml:space="preserve">(1) 定款内容に関するヒアリング及び助言</w:t>
        <w:br w:type="textWrapping"/>
        <w:t xml:space="preserve">(2) 定款案の作成及び修正対応</w:t>
        <w:br w:type="textWrapping"/>
        <w:t xml:space="preserve">(3) 法令適合性の観点からの確認及び提案</w:t>
        <w:br w:type="textWrapping"/>
        <w:t xml:space="preserve">(4) 公証役場対応に関する助言（電子定款認証を含む）</w:t>
        <w:br w:type="textWrapping"/>
        <w:t xml:space="preserve">(5)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前項に定める業務の具体的範囲及び内容は、別途協議のうえ定める。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pteqe9l6wk2b"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乙は、善良なる管理者の注意をもって、本契約に基づく業務を遂行する。</w:t>
        <w:br w:type="textWrapping"/>
        <w:t xml:space="preserve">2　乙は、法令及び関連ガイドラインを遵守し、専門家として適切に業務を行う。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2h6lik0zt0i"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甲は、乙の業務遂行に必要な資料及び情報を正確かつ速やかに提供する。</w:t>
        <w:br w:type="textWrapping"/>
        <w:t xml:space="preserve">2　甲が提供した情報に誤り又は不備があった場合、乙はその責任を負わない。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81c95q73sv1f"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br w:type="textWrapping"/>
        <w:t xml:space="preserve">2　支払時期及び方法は、別途合意する。</w:t>
        <w:br w:type="textWrapping"/>
        <w:t xml:space="preserve">3　業務範囲の追加又は変更があった場合、追加報酬について協議のうえ定める。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lp00brwx0wc"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公証人手数料、印紙代、電子定款認証費用その他実費は、甲の負担とする。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qvghc6arop3"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本契約に基づき作成された定款（以下「成果物」という。）は、甲の事業目的の範囲内で利用するものとする。</w:t>
        <w:br w:type="textWrapping"/>
        <w:t xml:space="preserve">2　乙は、成果物の内容について、法令適合性の観点から助言を行うが、将来的な法改正や行政解釈の変更に対する保証を行うものではない。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yl4xobh51a1o"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成果物に関する著作権は、乙に帰属する。</w:t>
        <w:br w:type="textWrapping"/>
        <w:t xml:space="preserve">2　乙は、甲に対し、当該成果物を利用するための非独占的かつ無償の使用権を許諾する。</w:t>
        <w:br w:type="textWrapping"/>
        <w:t xml:space="preserve">3　甲は、成果物を第三者に再配布又は販売してはならない。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qjarrehd91ne"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甲及び乙は、本契約に関連して知り得た相手方の業務上その他一切の情報を第三者に漏えいしてはならない。</w:t>
        <w:br w:type="textWrapping"/>
        <w:t xml:space="preserve">2　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qjyua9pzecwr"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d7nrzccvfl5g"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gq5t7zhu6an"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甲又は乙は、相手方が本契約に違反し、相当期間を定めて是正を求めたにもかかわらず是正されない場合、本契約を解除できる。</w:t>
        <w:br w:type="textWrapping"/>
        <w:t xml:space="preserve">2　やむを得ない事由により契約を継続できない場合、双方協議のうえ解除できる。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zs8dooxdlh" w:id="13"/>
      <w:bookmarkEnd w:id="13"/>
      <w:r w:rsidDel="00000000" w:rsidR="00000000" w:rsidRPr="00000000">
        <w:rPr>
          <w:rFonts w:ascii="Arial Unicode MS" w:cs="Arial Unicode MS" w:eastAsia="Arial Unicode MS" w:hAnsi="Arial Unicode MS"/>
          <w:b w:val="1"/>
          <w:bCs w:val="1"/>
          <w:sz w:val="34"/>
          <w:szCs w:val="34"/>
          <w:rtl w:val="0"/>
        </w:rPr>
        <w:t xml:space="preserve">第13条（責任の制限）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乙は、本契約に基づく業務について、故意又は重過失がある場合を除き、甲に生じた損害について責任を負わない。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1gm8349hqpq0"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甲及び乙は、自らが反社会的勢力に該当しないことを表明し、将来にわたり関与しないことを保証する。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gfrsqvz02gn"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91fecekrgdn"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cvfu562ii6y" w:id="17"/>
      <w:bookmarkEnd w:id="17"/>
      <w:r w:rsidDel="00000000" w:rsidR="00000000" w:rsidRPr="00000000">
        <w:rPr>
          <w:rFonts w:ascii="Arial Unicode MS" w:cs="Arial Unicode MS" w:eastAsia="Arial Unicode MS" w:hAnsi="Arial Unicode MS"/>
          <w:b w:val="1"/>
          <w:bCs w:val="1"/>
          <w:sz w:val="34"/>
          <w:szCs w:val="34"/>
          <w:rtl w:val="0"/>
        </w:rPr>
        <w:t xml:space="preserve">（締結）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