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vl87of861s1" w:id="0"/>
      <w:bookmarkEnd w:id="0"/>
      <w:r w:rsidDel="00000000" w:rsidR="00000000" w:rsidRPr="00000000">
        <w:rPr>
          <w:rFonts w:ascii="Arial Unicode MS" w:cs="Arial Unicode MS" w:eastAsia="Arial Unicode MS" w:hAnsi="Arial Unicode MS"/>
          <w:b w:val="1"/>
          <w:bCs w:val="1"/>
          <w:sz w:val="44"/>
          <w:szCs w:val="44"/>
          <w:rtl w:val="0"/>
        </w:rPr>
        <w:t xml:space="preserve">意匠登録出願契約書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●●株式会社（以下「甲」という。）と、●●（以下「乙」という。）は、意匠登録出願に関する業務の委任について、以下のとおり契約（以下「本契約」という。）を締結する。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106k2k9o98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本契約は、甲が創作した意匠について、乙に対し意匠登録出願及びこれに付随する業務を委任し、その内容及び条件を定めることを目的とする。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3yuo6vuzlov"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本契約において、次の各号に掲げる用語の意義は、それぞれ当該各号に定めるところによる。</w:t>
        <w:br w:type="textWrapping"/>
        <w:t xml:space="preserve">一　意匠とは、意匠法に定める意匠をいう。</w:t>
        <w:br w:type="textWrapping"/>
        <w:t xml:space="preserve">二　出願とは、特許庁に対する意匠登録出願手続をいう。</w:t>
        <w:br w:type="textWrapping"/>
        <w:t xml:space="preserve">三　成果物とは、乙が本契約に基づき作成する願書、図面、写真、説明書その他一切の出願関連資料をいう。</w:t>
        <w:br w:type="textWrapping"/>
        <w:t xml:space="preserve">四　関連業務とは、補正、意見書提出、審査対応その他出願に関連する手続をいう。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nfp6mchsfp"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乙は、甲の依頼に基づき、以下の業務を行う。</w:t>
        <w:br w:type="textWrapping"/>
        <w:t xml:space="preserve">一　意匠登録出願書類の作成及び提出</w:t>
        <w:br w:type="textWrapping"/>
        <w:t xml:space="preserve">二　必要に応じた図面・写真の整理及び補助的作成</w:t>
        <w:br w:type="textWrapping"/>
        <w:t xml:space="preserve">三　特許庁からの通知への対応（補正書、意見書の作成等）</w:t>
        <w:br w:type="textWrapping"/>
        <w:t xml:space="preserve">四　その他、甲乙間で合意した付随業務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pa1nzdj60y3"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乙は、専門家としての注意義務をもって、本業務を誠実に遂行する。</w:t>
        <w:br w:type="textWrapping"/>
        <w:t xml:space="preserve">２　乙は、甲から提供された情報に基づき業務を行うものとし、その正確性については甲が責任を負う。</w:t>
        <w:br w:type="textWrapping"/>
        <w:t xml:space="preserve">３　乙は、必要に応じて甲に対し追加資料の提出を求めることができる。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07x0h7y8k6i"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出願手数料、印紙代、図面作成費、交通費その他実費は、甲の負担とする。</w:t>
        <w:br w:type="textWrapping"/>
        <w:t xml:space="preserve">３　追加業務が発生した場合は、甲乙協議の上、別途報酬を定める。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sd9pixu5ch2" w:id="6"/>
      <w:bookmarkEnd w:id="6"/>
      <w:r w:rsidDel="00000000" w:rsidR="00000000" w:rsidRPr="00000000">
        <w:rPr>
          <w:rFonts w:ascii="Arial Unicode MS" w:cs="Arial Unicode MS" w:eastAsia="Arial Unicode MS" w:hAnsi="Arial Unicode MS"/>
          <w:b w:val="1"/>
          <w:bCs w:val="1"/>
          <w:sz w:val="34"/>
          <w:szCs w:val="34"/>
          <w:rtl w:val="0"/>
        </w:rPr>
        <w:t xml:space="preserve">第6条（支払方法）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甲は、乙が指定する方法により、指定期日までに報酬及び費用を支払うものとする。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6hi4etcvk26"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本意匠に関する権利は、すべて甲に帰属する。</w:t>
        <w:br w:type="textWrapping"/>
        <w:t xml:space="preserve">２　乙は、本業務の遂行により知り得た意匠について、いかなる権利も主張しない。</w:t>
        <w:br w:type="textWrapping"/>
        <w:t xml:space="preserve">３　成果物の著作権は乙に帰属するものとするが、甲は出願及び関連手続のために自由に利用できる。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b7beefc3as4"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乙は、本契約に関連して知り得た甲の技術情報、営業情報その他一切の情報を第三者に開示又は漏えいしてはならない。</w:t>
        <w:br w:type="textWrapping"/>
        <w:t xml:space="preserve">２　本条の義務は、本契約終了後も存続する。</w:t>
        <w:br w:type="textWrapping"/>
        <w:t xml:space="preserve">３　本条の解釈にあたっては、一般的な秘密保持契約の水準に準拠するものとする。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6t1xstv6a9k"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乙は、甲の事前承諾を得た場合に限り、本業務の全部又は一部を第三者に再委託することができる。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rgsch7vvulm"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本契約の有効期間は、契約締結日から当該出願手続が完了するまでとする。ただし、別途合意により延長することができる。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ge82pi2libr"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甲又は乙は、相手方が本契約に違反し、相当期間を定めて是正を求めたにもかかわらず改善されない場合、本契約を解除することができる。</w:t>
        <w:br w:type="textWrapping"/>
        <w:t xml:space="preserve">２　やむを得ない事情により業務継続が困難となった場合、双方協議の上、本契約を終了することができる。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0mqt0zek0py"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乙は、意匠登録の可否について何ら保証するものではない。</w:t>
        <w:br w:type="textWrapping"/>
        <w:t xml:space="preserve">２　乙は、甲の提供情報の不備又は誤りに起因する損害について責任を負わない。</w:t>
        <w:br w:type="textWrapping"/>
        <w:t xml:space="preserve">３　特許庁の判断による結果について、乙は一切の責任を負わない。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6eqgur1rloy"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3w1oh1rfaysm"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7lv9dt44sxvg"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i3u2vmb91in9"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甲及び乙は、自らが反社会的勢力でないことを表明し、将来にわたっても該当しないことを保証する。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x7x0wy46znk9"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本契約は二通作成し、甲乙各自記名押印の上、各一通を保有する。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