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5ssqdj2bnyn" w:id="0"/>
      <w:bookmarkEnd w:id="0"/>
      <w:r w:rsidDel="00000000" w:rsidR="00000000" w:rsidRPr="00000000">
        <w:rPr>
          <w:rFonts w:ascii="Arial Unicode MS" w:cs="Arial Unicode MS" w:eastAsia="Arial Unicode MS" w:hAnsi="Arial Unicode MS"/>
          <w:b w:val="1"/>
          <w:bCs w:val="1"/>
          <w:sz w:val="44"/>
          <w:szCs w:val="44"/>
          <w:rtl w:val="0"/>
        </w:rPr>
        <w:t xml:space="preserve">国際特許出願（PCT）業務委任契約書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本契約は、●●株式会社（以下「甲」という。）と、●●（弁理士・特許事務所等）（以下「乙」という。）との間で、国際特許出願（PCT出願）に関する業務の委任について、以下のとおり締結する。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z0pia6lzq7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本契約は、甲が有する発明について、世界知的所有権機関が管理する特許協力条約（PCT）に基づく国際特許出願手続を乙に委任し、その条件および権利義務関係を定めることを目的とする。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wmk5qig8g5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本契約において、以下の用語は次の意味を有する。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国際出願とは、PCTに基づき一括して複数国への特許出願の効果を得る手続をいう。</w:t>
        <w:br w:type="textWrapping"/>
        <w:t xml:space="preserve">2　成果物とは、明細書、請求項、図面、要約書その他出願関連書類一式をいう。</w:t>
        <w:br w:type="textWrapping"/>
        <w:t xml:space="preserve">3　知的財産権とは、特許権、特許を受ける権利およびこれらに関連する一切の権利をいう。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ult4ju655cg"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発明内容のヒアリングおよび出願方針の策定</w:t>
        <w:br w:type="textWrapping"/>
        <w:t xml:space="preserve">2　明細書、請求項等の作成および補正</w:t>
        <w:br w:type="textWrapping"/>
        <w:t xml:space="preserve">3　国際出願手続の代理</w:t>
        <w:br w:type="textWrapping"/>
        <w:t xml:space="preserve">4　国際調査機関への対応および意見書作成</w:t>
        <w:br w:type="textWrapping"/>
        <w:t xml:space="preserve">5　国際公開後の対応助言</w:t>
        <w:br w:type="textWrapping"/>
        <w:t xml:space="preserve">6　国内移行に関する助言（必要に応じて）</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abcd5lv6vhjj"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乙は、外国代理人その他専門家に業務の全部または一部を再委託することができる。この場合、乙は当該第三者の行為について責任を負う。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d5q5ptymvhru"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出願費用、翻訳費用、外国代理人費用その他実費は甲の負担とする。</w:t>
        <w:br w:type="textWrapping"/>
        <w:t xml:space="preserve">3　支払条件は別途定める請求書に従う。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1dfwd5407dm4"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甲は、乙による業務遂行に必要な資料、情報および指示を適時提供するものとする。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x08axcsomrf"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乙は、本契約に関連して知り得た甲の技術情報、営業情報その他一切の情報を秘密として保持する。</w:t>
        <w:br w:type="textWrapping"/>
        <w:t xml:space="preserve">2　乙は、当該情報を本業務以外の目的で使用してはならない。</w:t>
        <w:br w:type="textWrapping"/>
        <w:t xml:space="preserve">3　本条の義務は契約終了後も存続する。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unn57fb499p"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第8条（知的財産権の帰属）</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本業務により作成された成果物に関する知的財産権は、すべて甲に帰属する。</w:t>
        <w:br w:type="textWrapping"/>
        <w:t xml:space="preserve">2　乙は、成果物について著作者人格権を行使しないものとする。</w:t>
      </w:r>
    </w:p>
    <w:p w:rsidR="00000000" w:rsidDel="00000000" w:rsidP="00000000" w:rsidRDefault="00000000" w:rsidRPr="00000000" w14:paraId="0000001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r58xozdzppii"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乙は、善良なる管理者の注意義務をもって業務を遂行する。</w:t>
        <w:br w:type="textWrapping"/>
        <w:t xml:space="preserve">2　乙は、出願結果や特許取得の可否について保証しない。</w:t>
        <w:br w:type="textWrapping"/>
        <w:t xml:space="preserve">3　乙の損害賠償責任は、受領した報酬額を上限とする。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v8z7cqx7mek"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本契約の有効期間は、契約締結日から当該出願に関する業務終了までとする。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zd3u6txvsdy"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甲または乙は、相手方が本契約に違反し、是正しない場合、契約を解除できる。</w:t>
        <w:br w:type="textWrapping"/>
        <w:t xml:space="preserve">2　やむを得ない事由により、双方協議のうえ解除することができる。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fvbznroy4d4"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天災地変、法令改正、国際機関の規則変更その他不可抗力により生じた損害については、双方責任を負わない。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27ejr4zydnp"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ppl1ihukh3t0"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8e5amy245t1" w:id="15"/>
      <w:bookmarkEnd w:id="15"/>
      <w:r w:rsidDel="00000000" w:rsidR="00000000" w:rsidRPr="00000000">
        <w:rPr>
          <w:rFonts w:ascii="Arial Unicode MS" w:cs="Arial Unicode MS" w:eastAsia="Arial Unicode MS" w:hAnsi="Arial Unicode MS"/>
          <w:b w:val="1"/>
          <w:bCs w:val="1"/>
          <w:sz w:val="34"/>
          <w:szCs w:val="34"/>
          <w:rtl w:val="0"/>
        </w:rPr>
        <w:t xml:space="preserve">第15条（契約の成立）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●●（弁理士・特許事務所）</w:t>
        <w:br w:type="textWrapping"/>
        <w:t xml:space="preserve">住所：</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