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y2ftyell243" w:id="0"/>
      <w:bookmarkEnd w:id="0"/>
      <w:r w:rsidDel="00000000" w:rsidR="00000000" w:rsidRPr="00000000">
        <w:rPr>
          <w:rFonts w:ascii="Arial Unicode MS" w:cs="Arial Unicode MS" w:eastAsia="Arial Unicode MS" w:hAnsi="Arial Unicode MS"/>
          <w:b w:val="1"/>
          <w:bCs w:val="1"/>
          <w:sz w:val="44"/>
          <w:szCs w:val="44"/>
          <w:rtl w:val="0"/>
        </w:rPr>
        <w:t xml:space="preserve">ブランド戦略支援契約書（商標）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●●株式会社（以下「甲」という。）と、●●株式会社（以下「乙」という。）は、ブランド戦略支援業務に関し、以下のとおり契約（以下「本契約」という。）を締結する。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o0f3x4tez7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本契約は、乙が甲に対し、商標戦略を含むブランド戦略支援業務を提供するにあたり、その内容、条件及び権利義務関係を定めることを目的とする。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ysjp14ms2dk"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商標とは、商標法に基づく登録商標及び出願中の商標をいう。</w:t>
        <w:br w:type="textWrapping"/>
        <w:t xml:space="preserve">2　ブランド戦略とは、商標の選定、出願方針、ブランド設計、ネーミング、ロゴ設計方針、市場ポジショニング等に関する一連の戦略をいう。</w:t>
        <w:br w:type="textWrapping"/>
        <w:t xml:space="preserve">3　成果物とは、本契約に基づき乙が作成し、甲に提供する資料、レポート、提案書、ブランド設計資料等をいう。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iursc5ljttu"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乙は、甲に対し、以下の業務（以下「本業務」という。）を行う。</w:t>
        <w:br w:type="textWrapping"/>
        <w:t xml:space="preserve">(1) 商標調査及びリスク分析</w:t>
        <w:br w:type="textWrapping"/>
        <w:t xml:space="preserve">(2) ブランドネーミングに関する助言</w:t>
        <w:br w:type="textWrapping"/>
        <w:t xml:space="preserve">(3) 商標出願戦略の策定支援</w:t>
        <w:br w:type="textWrapping"/>
        <w:t xml:space="preserve">(4) ブランドコンセプト設計支援</w:t>
        <w:br w:type="textWrapping"/>
        <w:t xml:space="preserve">(5) 競合ブランド分析</w:t>
        <w:br w:type="textWrapping"/>
        <w:t xml:space="preserve">(6) その他甲乙協議の上定める業務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m34mhrrumc9" w:id="4"/>
      <w:bookmarkEnd w:id="4"/>
      <w:r w:rsidDel="00000000" w:rsidR="00000000" w:rsidRPr="00000000">
        <w:rPr>
          <w:rFonts w:ascii="Arial Unicode MS" w:cs="Arial Unicode MS" w:eastAsia="Arial Unicode MS" w:hAnsi="Arial Unicode MS"/>
          <w:b w:val="1"/>
          <w:bCs w:val="1"/>
          <w:sz w:val="34"/>
          <w:szCs w:val="34"/>
          <w:rtl w:val="0"/>
        </w:rPr>
        <w:t xml:space="preserve">第4条（業務の実施）</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本業務の具体的な内容、スケジュール及び成果物は、別途合意する仕様書又は個別合意に従う。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ocrobavjtt3"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乙は、本業務の全部又は一部を第三者に再委託する場合、事前に甲の書面承諾を得なければならない。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ojoifkywlk0"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支払条件は、請求書発行日から●日以内とする。</w:t>
        <w:br w:type="textWrapping"/>
        <w:t xml:space="preserve">3　振込手数料は甲の負担とする。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dzjrklrwjas"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本業務により作成された成果物の著作権は、原則として甲に帰属する。ただし、乙が従前より有するノウハウ及び知的財産権は乙に留保される。</w:t>
        <w:br w:type="textWrapping"/>
        <w:t xml:space="preserve">2　商標出願及び登録に関する権利は、甲に帰属する。</w:t>
        <w:br w:type="textWrapping"/>
        <w:t xml:space="preserve">3　乙は、成果物に関し、著作者人格権を行使しないものとする。</w:t>
        <w:br w:type="textWrapping"/>
        <w:t xml:space="preserve">4　乙は、甲に対し、本業務遂行に必要な範囲で、自己のノウハウの使用を許諾する。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27rssftrmih"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甲及び乙は、本契約に関連して知り得た相手方の営業上、技術上その他一切の情報を第三者に漏洩してはならない。</w:t>
        <w:br w:type="textWrapping"/>
        <w:t xml:space="preserve">2　本条の義務は、本契約終了後も●年間存続する。</w:t>
        <w:br w:type="textWrapping"/>
        <w:t xml:space="preserve">（※秘密情報の定義・例外は中小企業庁モデルに準拠した構造で運用可能）</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zdecdp6fmlk"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乙は、本契約期間中及び終了後●年間、甲のブランド戦略に重大な影響を及ぼす競合案件について、甲の事前承諾なく関与しないものとする。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ic1sj5msjxk" w:id="10"/>
      <w:bookmarkEnd w:id="10"/>
      <w:r w:rsidDel="00000000" w:rsidR="00000000" w:rsidRPr="00000000">
        <w:rPr>
          <w:rFonts w:ascii="Arial Unicode MS" w:cs="Arial Unicode MS" w:eastAsia="Arial Unicode MS" w:hAnsi="Arial Unicode MS"/>
          <w:b w:val="1"/>
          <w:bCs w:val="1"/>
          <w:sz w:val="34"/>
          <w:szCs w:val="34"/>
          <w:rtl w:val="0"/>
        </w:rPr>
        <w:t xml:space="preserve">第10条（保証及び免責）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乙は、商標登録の成功又はブランドの成果について保証するものではない。</w:t>
        <w:br w:type="textWrapping"/>
        <w:t xml:space="preserve">2　乙は、提供情報の正確性・完全性について保証しない。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cxez986d19u"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hghyc79o73"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やむを得ない事由がある場合、双方協議の上解除できる。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ognfexzq8sa"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当事者は、本契約違反により相手方に損害を与えた場合、直接かつ通常の損害に限り賠償責任を負う。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cwa8kyo7cd07"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甲及び乙は、反社会的勢力に該当しないことを保証し、将来にわたり関係を持たないことを確約する。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gzoaigvyl0w"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本契約に定めのない事項及び疑義が生じた場合は、甲乙協議の上解決する。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xb3mucu7hpx"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6fjgjvthylgx"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本契約は電磁的方法により締結することができる。</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bbve7f5djzqg" w:id="18"/>
      <w:bookmarkEnd w:id="18"/>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