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afd4ibh1z3s" w:id="0"/>
      <w:bookmarkEnd w:id="0"/>
      <w:r w:rsidDel="00000000" w:rsidR="00000000" w:rsidRPr="00000000">
        <w:rPr>
          <w:rFonts w:ascii="Arial Unicode MS" w:cs="Arial Unicode MS" w:eastAsia="Arial Unicode MS" w:hAnsi="Arial Unicode MS"/>
          <w:b w:val="1"/>
          <w:bCs w:val="1"/>
          <w:sz w:val="44"/>
          <w:szCs w:val="44"/>
          <w:rtl w:val="0"/>
        </w:rPr>
        <w:t xml:space="preserve">外国出願委任状</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●●株式会社（以下「委任者」という。）は、●●（弁理士／特許事務所／代理人名）（以下「受任者」という。）に対し、以下のとおり外国出願に関する一切の手続を委任する。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2ese24aa6xva" w:id="1"/>
      <w:bookmarkEnd w:id="1"/>
      <w:r w:rsidDel="00000000" w:rsidR="00000000" w:rsidRPr="00000000">
        <w:rPr>
          <w:rFonts w:ascii="Arial Unicode MS" w:cs="Arial Unicode MS" w:eastAsia="Arial Unicode MS" w:hAnsi="Arial Unicode MS"/>
          <w:b w:val="1"/>
          <w:bCs w:val="1"/>
          <w:sz w:val="34"/>
          <w:szCs w:val="34"/>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本委任状は、委任者が日本国外において行う特許、実用新案、意匠、商標その他の知的財産権に関する出願及びその関連手続について、受任者に代理権を付与することを目的とする。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gpgea2h2brvz" w:id="2"/>
      <w:bookmarkEnd w:id="2"/>
      <w:r w:rsidDel="00000000" w:rsidR="00000000" w:rsidRPr="00000000">
        <w:rPr>
          <w:rFonts w:ascii="Arial Unicode MS" w:cs="Arial Unicode MS" w:eastAsia="Arial Unicode MS" w:hAnsi="Arial Unicode MS"/>
          <w:b w:val="1"/>
          <w:bCs w:val="1"/>
          <w:sz w:val="34"/>
          <w:szCs w:val="34"/>
          <w:rtl w:val="0"/>
        </w:rPr>
        <w:t xml:space="preserve">第２条（委任事項）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委任者は、受任者に対し、以下の事項を包括的に委任する。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外国における特許、実用新案、意匠、商標その他知的財産権の出願手続</w:t>
        <w:br w:type="textWrapping"/>
        <w:t xml:space="preserve">２　出願に関する補正、分割、変更、取下げその他の手続</w:t>
        <w:br w:type="textWrapping"/>
        <w:t xml:space="preserve">３　拒絶理由通知への応答、中間処理及び審査対応</w:t>
        <w:br w:type="textWrapping"/>
        <w:t xml:space="preserve">４　登録料の納付及び登録手続</w:t>
        <w:br w:type="textWrapping"/>
        <w:t xml:space="preserve">５　権利維持のための年金管理及び更新手続</w:t>
        <w:br w:type="textWrapping"/>
        <w:t xml:space="preserve">６　現地代理人の選任、指示及び監督</w:t>
        <w:br w:type="textWrapping"/>
        <w:t xml:space="preserve">７　優先権主張に関する手続及び証明書の取得・提出</w:t>
        <w:br w:type="textWrapping"/>
        <w:t xml:space="preserve">８　各国官庁との連絡及び書類提出</w:t>
        <w:br w:type="textWrapping"/>
        <w:t xml:space="preserve">９　その他前各号に付随又は関連する一切の手続</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fyng7ljyenrj" w:id="3"/>
      <w:bookmarkEnd w:id="3"/>
      <w:r w:rsidDel="00000000" w:rsidR="00000000" w:rsidRPr="00000000">
        <w:rPr>
          <w:rFonts w:ascii="Arial Unicode MS" w:cs="Arial Unicode MS" w:eastAsia="Arial Unicode MS" w:hAnsi="Arial Unicode MS"/>
          <w:b w:val="1"/>
          <w:bCs w:val="1"/>
          <w:sz w:val="34"/>
          <w:szCs w:val="34"/>
          <w:rtl w:val="0"/>
        </w:rPr>
        <w:t xml:space="preserve">第３条（再委任）</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受任者は、外国出願に必要な範囲において、外国の弁理士、特許事務所その他の専門家に対し、委任事項の全部又は一部を再委任することができる。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受任者は、再委任先の選任にあたり、合理的な注意義務を負うものとする。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1r1hxtd0awt4" w:id="4"/>
      <w:bookmarkEnd w:id="4"/>
      <w:r w:rsidDel="00000000" w:rsidR="00000000" w:rsidRPr="00000000">
        <w:rPr>
          <w:rFonts w:ascii="Arial Unicode MS" w:cs="Arial Unicode MS" w:eastAsia="Arial Unicode MS" w:hAnsi="Arial Unicode MS"/>
          <w:b w:val="1"/>
          <w:bCs w:val="1"/>
          <w:sz w:val="34"/>
          <w:szCs w:val="34"/>
          <w:rtl w:val="0"/>
        </w:rPr>
        <w:t xml:space="preserve">第４条（指示及び報告）</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受任者は、委任者の指示に従い業務を遂行するものとする。ただし、緊急性がある場合又は合理的に指示を待つことが困難な場合には、受任者の判断により必要な措置を講ずることができる。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受任者は、重要な手続の進捗及び結果について、適宜委任者に報告するものとする。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18qnit417x0u" w:id="5"/>
      <w:bookmarkEnd w:id="5"/>
      <w:r w:rsidDel="00000000" w:rsidR="00000000" w:rsidRPr="00000000">
        <w:rPr>
          <w:rFonts w:ascii="Arial Unicode MS" w:cs="Arial Unicode MS" w:eastAsia="Arial Unicode MS" w:hAnsi="Arial Unicode MS"/>
          <w:b w:val="1"/>
          <w:bCs w:val="1"/>
          <w:sz w:val="34"/>
          <w:szCs w:val="34"/>
          <w:rtl w:val="0"/>
        </w:rPr>
        <w:t xml:space="preserve">第５条（費用及び報酬）</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委任者は、受任者に対し、本件業務に関する報酬及び実費（外国代理人費用、翻訳費用、出願費用、官庁費用等を含む）を支払うものとする。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費用の詳細及び支払条件は、別途合意する。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cpj3iw71brgi" w:id="6"/>
      <w:bookmarkEnd w:id="6"/>
      <w:r w:rsidDel="00000000" w:rsidR="00000000" w:rsidRPr="00000000">
        <w:rPr>
          <w:rFonts w:ascii="Arial Unicode MS" w:cs="Arial Unicode MS" w:eastAsia="Arial Unicode MS" w:hAnsi="Arial Unicode MS"/>
          <w:b w:val="1"/>
          <w:bCs w:val="1"/>
          <w:sz w:val="34"/>
          <w:szCs w:val="34"/>
          <w:rtl w:val="0"/>
        </w:rPr>
        <w:t xml:space="preserve">第６条（秘密保持）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受任者は、本委任に関連して知り得た委任者の技術情報、営業情報その他一切の情報を秘密として取り扱い、委任者の事前の承諾なく第三者に開示してはならない。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前項の義務は、本委任関係終了後も存続する。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（※中小企業庁レベルの秘密保持構成を踏襲） </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yzq0eavxesf1" w:id="7"/>
      <w:bookmarkEnd w:id="7"/>
      <w:r w:rsidDel="00000000" w:rsidR="00000000" w:rsidRPr="00000000">
        <w:rPr>
          <w:rFonts w:ascii="Arial Unicode MS" w:cs="Arial Unicode MS" w:eastAsia="Arial Unicode MS" w:hAnsi="Arial Unicode MS"/>
          <w:b w:val="1"/>
          <w:bCs w:val="1"/>
          <w:sz w:val="34"/>
          <w:szCs w:val="34"/>
          <w:rtl w:val="0"/>
        </w:rPr>
        <w:t xml:space="preserve">第７条（知的財産権の帰属）</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外国出願に関する権利は、すべて委任者に帰属するものとする。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本委任により、受任者に対し、いかなる権利移転又は実施許諾がなされるものではない。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lmyn3jaf4om2" w:id="8"/>
      <w:bookmarkEnd w:id="8"/>
      <w:r w:rsidDel="00000000" w:rsidR="00000000" w:rsidRPr="00000000">
        <w:rPr>
          <w:rFonts w:ascii="Arial Unicode MS" w:cs="Arial Unicode MS" w:eastAsia="Arial Unicode MS" w:hAnsi="Arial Unicode MS"/>
          <w:b w:val="1"/>
          <w:bCs w:val="1"/>
          <w:sz w:val="34"/>
          <w:szCs w:val="34"/>
          <w:rtl w:val="0"/>
        </w:rPr>
        <w:t xml:space="preserve">第８条（責任の範囲）</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受任者は、善良な管理者の注意義務をもって業務を遂行する。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受任者は、外国官庁の判断、法制度の相違、第三者の行為その他自己の合理的支配を超える事由により生じた損害については責任を負わない。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3qc2z02bcy7x" w:id="9"/>
      <w:bookmarkEnd w:id="9"/>
      <w:r w:rsidDel="00000000" w:rsidR="00000000" w:rsidRPr="00000000">
        <w:rPr>
          <w:rFonts w:ascii="Arial Unicode MS" w:cs="Arial Unicode MS" w:eastAsia="Arial Unicode MS" w:hAnsi="Arial Unicode MS"/>
          <w:b w:val="1"/>
          <w:bCs w:val="1"/>
          <w:sz w:val="34"/>
          <w:szCs w:val="34"/>
          <w:rtl w:val="0"/>
        </w:rPr>
        <w:t xml:space="preserve">第９条（有効期間）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本委任は、本書作成日より有効とし、対象出願に関する手続が完了するまで有効に存続する。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委任者は、合理的理由に基づき、本委任を撤回することができる。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5ythfwrg2pgn" w:id="10"/>
      <w:bookmarkEnd w:id="10"/>
      <w:r w:rsidDel="00000000" w:rsidR="00000000" w:rsidRPr="00000000">
        <w:rPr>
          <w:rFonts w:ascii="Arial Unicode MS" w:cs="Arial Unicode MS" w:eastAsia="Arial Unicode MS" w:hAnsi="Arial Unicode MS"/>
          <w:b w:val="1"/>
          <w:bCs w:val="1"/>
          <w:sz w:val="34"/>
          <w:szCs w:val="34"/>
          <w:rtl w:val="0"/>
        </w:rPr>
        <w:t xml:space="preserve">第１０条（準拠法及び管轄）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本委任状は日本法に準拠し、本委任に関して生じた紛争については、委任者の本店所在地を管轄する地方裁判所を第一審の専属的合意管轄裁判所とする。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xon7r9apr1rh" w:id="11"/>
      <w:bookmarkEnd w:id="11"/>
      <w:r w:rsidDel="00000000" w:rsidR="00000000" w:rsidRPr="00000000">
        <w:rPr>
          <w:rFonts w:ascii="Arial Unicode MS" w:cs="Arial Unicode MS" w:eastAsia="Arial Unicode MS" w:hAnsi="Arial Unicode MS"/>
          <w:b w:val="1"/>
          <w:bCs w:val="1"/>
          <w:sz w:val="34"/>
          <w:szCs w:val="34"/>
          <w:rtl w:val="0"/>
        </w:rPr>
        <w:t xml:space="preserve">第１１条（協議事項）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本委任に定めのない事項又は疑義が生じた場合には、委任者及び受任者は誠意をもって協議し解決するものとする。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w:t>
        <w:br w:type="textWrapping"/>
        <w:t xml:space="preserve">住所：</w:t>
        <w:br w:type="textWrapping"/>
        <w:t xml:space="preserve">名称：●●株式会社</w:t>
        <w:br w:type="textWrapping"/>
        <w:t xml:space="preserve">代表者：</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w:t>
        <w:br w:type="textWrapping"/>
        <w:t xml:space="preserve">住所：</w:t>
        <w:br w:type="textWrapping"/>
        <w:t xml:space="preserve">名称：</w:t>
        <w:br w:type="textWrapping"/>
        <w:t xml:space="preserve">氏名：</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