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lwdftvlea0w" w:id="0"/>
      <w:bookmarkEnd w:id="0"/>
      <w:r w:rsidDel="00000000" w:rsidR="00000000" w:rsidRPr="00000000">
        <w:rPr>
          <w:rFonts w:ascii="Arial Unicode MS" w:cs="Arial Unicode MS" w:eastAsia="Arial Unicode MS" w:hAnsi="Arial Unicode MS"/>
          <w:b w:val="1"/>
          <w:bCs w:val="1"/>
          <w:sz w:val="44"/>
          <w:szCs w:val="44"/>
          <w:rtl w:val="0"/>
        </w:rPr>
        <w:t xml:space="preserve">手数料合意書（弁理士業務）</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弁理士（又は●●特許事務所）（以下「乙」という。）は、乙が甲に提供する弁理士業務に関する手数料について、以下のとおり合意する（以下「本合意書」という。）。</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nwrdlr7p2z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乙が甲に対して提供する特許、実用新案、意匠、商標その他の知的財産に関する出願、権利化、調査、鑑定、交渉、管理等の業務（以下「本業務」という。）に係る手数料および支払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ed2f3eexqjk"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乙は、甲の依頼に基づき、次の各号に掲げる業務を実施する。</w:t>
        <w:br w:type="textWrapping"/>
        <w:t xml:space="preserve">(1) 国内外における知的財産権の出願手続</w:t>
        <w:br w:type="textWrapping"/>
        <w:t xml:space="preserve">(2) 中間処理、補正、意見書提出等の対応</w:t>
        <w:br w:type="textWrapping"/>
        <w:t xml:space="preserve">(3) 調査業務（先行技術調査、無効調査等）</w:t>
        <w:br w:type="textWrapping"/>
        <w:t xml:space="preserve">(4) 鑑定、意見書作成</w:t>
        <w:br w:type="textWrapping"/>
        <w:t xml:space="preserve">(5) その他甲乙間で合意した業務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本業務の具体的内容は、個別案件ごとに書面又は電子的方法により別途定める。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66rq1b9vlbl1" w:id="3"/>
      <w:bookmarkEnd w:id="3"/>
      <w:r w:rsidDel="00000000" w:rsidR="00000000" w:rsidRPr="00000000">
        <w:rPr>
          <w:rFonts w:ascii="Arial Unicode MS" w:cs="Arial Unicode MS" w:eastAsia="Arial Unicode MS" w:hAnsi="Arial Unicode MS"/>
          <w:b w:val="1"/>
          <w:bCs w:val="1"/>
          <w:sz w:val="34"/>
          <w:szCs w:val="34"/>
          <w:rtl w:val="0"/>
        </w:rPr>
        <w:t xml:space="preserve">第3条（手数料）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本業務に関する手数料は、以下の区分に従い定める。</w:t>
        <w:br w:type="textWrapping"/>
        <w:t xml:space="preserve">(1) 着手金</w:t>
        <w:br w:type="textWrapping"/>
        <w:t xml:space="preserve">(2) 成果報酬</w:t>
        <w:br w:type="textWrapping"/>
        <w:t xml:space="preserve">(3) 時間制報酬</w:t>
        <w:br w:type="textWrapping"/>
        <w:t xml:space="preserve">(4) 実費</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各手数料の金額は、別紙料金表又は個別合意により定める。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乙は、必要に応じて見積書を提示し、甲の承諾を得た上で業務を開始する。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n2cu1gesredz" w:id="4"/>
      <w:bookmarkEnd w:id="4"/>
      <w:r w:rsidDel="00000000" w:rsidR="00000000" w:rsidRPr="00000000">
        <w:rPr>
          <w:rFonts w:ascii="Arial Unicode MS" w:cs="Arial Unicode MS" w:eastAsia="Arial Unicode MS" w:hAnsi="Arial Unicode MS"/>
          <w:b w:val="1"/>
          <w:bCs w:val="1"/>
          <w:sz w:val="34"/>
          <w:szCs w:val="34"/>
          <w:rtl w:val="0"/>
        </w:rPr>
        <w:t xml:space="preserve">第4条（実費）</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本業務の遂行に必要な以下の費用は、甲の負担とする。</w:t>
        <w:br w:type="textWrapping"/>
        <w:t xml:space="preserve">(1) 特許庁その他官公庁に支払う印紙代・手数料</w:t>
        <w:br w:type="textWrapping"/>
        <w:t xml:space="preserve">(2) 翻訳費用、外国代理人費用</w:t>
        <w:br w:type="textWrapping"/>
        <w:t xml:space="preserve">(3) 郵送費、通信費、調査費用</w:t>
        <w:br w:type="textWrapping"/>
        <w:t xml:space="preserve">(4) その他業務遂行に必要な合理的費用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乙は、実費について適宜明細を提示するものとする。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e1eg06ni4mxi" w:id="5"/>
      <w:bookmarkEnd w:id="5"/>
      <w:r w:rsidDel="00000000" w:rsidR="00000000" w:rsidRPr="00000000">
        <w:rPr>
          <w:rFonts w:ascii="Arial Unicode MS" w:cs="Arial Unicode MS" w:eastAsia="Arial Unicode MS" w:hAnsi="Arial Unicode MS"/>
          <w:b w:val="1"/>
          <w:bCs w:val="1"/>
          <w:sz w:val="34"/>
          <w:szCs w:val="34"/>
          <w:rtl w:val="0"/>
        </w:rPr>
        <w:t xml:space="preserve">第5条（支払条件）</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甲は、乙の請求に基づき、請求書発行日から●日以内に、乙指定の口座へ振込により支払う。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振込手数料は甲の負担とする。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支払期限を経過してもなお支払がなされない場合、甲は、年●％の割合による遅延損害金を支払うものとする。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r8j2g0q10dl2" w:id="6"/>
      <w:bookmarkEnd w:id="6"/>
      <w:r w:rsidDel="00000000" w:rsidR="00000000" w:rsidRPr="00000000">
        <w:rPr>
          <w:rFonts w:ascii="Arial Unicode MS" w:cs="Arial Unicode MS" w:eastAsia="Arial Unicode MS" w:hAnsi="Arial Unicode MS"/>
          <w:b w:val="1"/>
          <w:bCs w:val="1"/>
          <w:sz w:val="34"/>
          <w:szCs w:val="34"/>
          <w:rtl w:val="0"/>
        </w:rPr>
        <w:t xml:space="preserve">第6条（業務の中断・終了）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乙は、甲が手数料の支払を遅滞した場合、催告の上、本業務の全部又は一部を中断することができる。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甲が業務途中で依頼を取り下げた場合であっても、乙は、既に実施した業務に対応する手数料を請求することができる。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業務の性質上発生した費用については、業務終了後であっても甲が負担する。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510g3yqy0ota" w:id="7"/>
      <w:bookmarkEnd w:id="7"/>
      <w:r w:rsidDel="00000000" w:rsidR="00000000" w:rsidRPr="00000000">
        <w:rPr>
          <w:rFonts w:ascii="Arial Unicode MS" w:cs="Arial Unicode MS" w:eastAsia="Arial Unicode MS" w:hAnsi="Arial Unicode MS"/>
          <w:b w:val="1"/>
          <w:bCs w:val="1"/>
          <w:sz w:val="34"/>
          <w:szCs w:val="34"/>
          <w:rtl w:val="0"/>
        </w:rPr>
        <w:t xml:space="preserve">第7条（成功報酬）</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成功報酬が定められている場合、次の各号のいずれかに該当した時点で発生する。</w:t>
        <w:br w:type="textWrapping"/>
        <w:t xml:space="preserve">(1) 特許査定、登録査定等の権利化がなされた場合</w:t>
        <w:br w:type="textWrapping"/>
        <w:t xml:space="preserve">(2) ライセンス契約成立等の成果が得られた場合</w:t>
        <w:br w:type="textWrapping"/>
        <w:t xml:space="preserve">(3) その他個別合意により定めた成果が達成された場合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成功報酬の具体的金額及び算定方法は、個別に定める。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yr9ekcc23oax" w:id="8"/>
      <w:bookmarkEnd w:id="8"/>
      <w:r w:rsidDel="00000000" w:rsidR="00000000" w:rsidRPr="00000000">
        <w:rPr>
          <w:rFonts w:ascii="Arial Unicode MS" w:cs="Arial Unicode MS" w:eastAsia="Arial Unicode MS" w:hAnsi="Arial Unicode MS"/>
          <w:b w:val="1"/>
          <w:bCs w:val="1"/>
          <w:sz w:val="34"/>
          <w:szCs w:val="34"/>
          <w:rtl w:val="0"/>
        </w:rPr>
        <w:t xml:space="preserve">第8条（責任の範囲）</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乙は、本業務を善良なる管理者の注意をもって遂行する。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乙は、結果の達成を保証するものではなく、審査結果その他第三者の判断に起因する結果について責任を負わない。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乙の責任は、故意又は重過失による場合を除き、当該業務に関して甲が支払った手数料の総額を上限とする。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8tm0lnz38jnm"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甲及び乙は、本業務に関連して知り得た相手方の技術情報、営業情報その他一切の情報を秘密として取り扱い、第三者に開示してはならない。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7bvuqurgety0"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本合意書の有効期間は、締結日から●年間とする。ただし、期間満了後も、未了の業務及び未払の手数料については本合意書が適用される。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vf8t85nmpldv" w:id="11"/>
      <w:bookmarkEnd w:id="11"/>
      <w:r w:rsidDel="00000000" w:rsidR="00000000" w:rsidRPr="00000000">
        <w:rPr>
          <w:rFonts w:ascii="Arial Unicode MS" w:cs="Arial Unicode MS" w:eastAsia="Arial Unicode MS" w:hAnsi="Arial Unicode MS"/>
          <w:b w:val="1"/>
          <w:bCs w:val="1"/>
          <w:sz w:val="34"/>
          <w:szCs w:val="34"/>
          <w:rtl w:val="0"/>
        </w:rPr>
        <w:t xml:space="preserve">第11条（契約の解除）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甲又は乙は、相手方が本合意書に違反し、相当期間を定めて是正を求めたにもかかわらず改善されない場合、本合意書を解除することができる。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前項に基づき解除された場合でも、既に発生した手数料の支払義務は消滅しない。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xgaxk8notpvt"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本合意書に定めのない事項又は疑義が生じた場合、甲乙は誠意をもって協議し解決する。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x02g0kyfhk7o" w:id="13"/>
      <w:bookmarkEnd w:id="13"/>
      <w:r w:rsidDel="00000000" w:rsidR="00000000" w:rsidRPr="00000000">
        <w:rPr>
          <w:rFonts w:ascii="Arial Unicode MS" w:cs="Arial Unicode MS" w:eastAsia="Arial Unicode MS" w:hAnsi="Arial Unicode MS"/>
          <w:b w:val="1"/>
          <w:bCs w:val="1"/>
          <w:sz w:val="34"/>
          <w:szCs w:val="34"/>
          <w:rtl w:val="0"/>
        </w:rPr>
        <w:t xml:space="preserve">第13条（準拠法・管轄）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本合意書は日本法に準拠し、本合意書に関して生じる紛争については、●●地方裁判所を第一審の専属的合意管轄裁判所とする。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7mvnxh4lds1e" w:id="14"/>
      <w:bookmarkEnd w:id="14"/>
      <w:r w:rsidDel="00000000" w:rsidR="00000000" w:rsidRPr="00000000">
        <w:rPr>
          <w:rFonts w:ascii="Arial Unicode MS" w:cs="Arial Unicode MS" w:eastAsia="Arial Unicode MS" w:hAnsi="Arial Unicode MS"/>
          <w:b w:val="1"/>
          <w:bCs w:val="1"/>
          <w:sz w:val="34"/>
          <w:szCs w:val="34"/>
          <w:rtl w:val="0"/>
        </w:rPr>
        <w:t xml:space="preserve">第14条（合意の成立）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本合意書は、電子契約を含む適法な方法により締結されるものとする。</w:t>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ucwh4hi6ke1u" w:id="15"/>
      <w:bookmarkEnd w:id="15"/>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本合意成立の証として、本書を作成し、甲乙が記名押印又は電子署名の上、各自保有する。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●●弁理士（又は●●特許事務所）</w:t>
        <w:br w:type="textWrapping"/>
        <w:t xml:space="preserve">住所：</w:t>
        <w:br w:type="textWrapping"/>
        <w:t xml:space="preserve">代表者：</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