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jc w:val="center"/>
      </w:pPr>
      <w:r>
        <w:rPr>
          <w:rFonts w:ascii="Noto Serif CJK JP" w:hAnsi="Noto Serif CJK JP" w:eastAsia="Noto Serif CJK JP"/>
          <w:b/>
          <w:sz w:val="34"/>
        </w:rPr>
        <w:t>出張買取契約書</w:t>
      </w:r>
    </w:p>
    <w:p>
      <w:r>
        <w:rPr>
          <w:rFonts w:ascii="Noto Serif CJK JP" w:hAnsi="Noto Serif CJK JP" w:eastAsia="Noto Serif CJK JP"/>
          <w:b w:val="0"/>
        </w:rPr>
        <w:t>株式会社〇〇（以下「買取業者」という。）と、売主〇〇（以下「売主」という。）は、買取業者が売主の自宅その他の営業所等以外の場所において物品を査定し、買い取る取引について、特定商取引に関する法律、古物営業法、民法、消費者契約法その他の関係法令を踏まえ、次のとおり契約（以下「本契約」という。）を締結する。</w:t>
      </w:r>
    </w:p>
    <w:p>
      <w:r>
        <w:rPr>
          <w:rFonts w:ascii="Noto Serif CJK JP" w:hAnsi="Noto Serif CJK JP" w:eastAsia="Noto Serif CJK JP"/>
          <w:b/>
          <w:sz w:val="22"/>
        </w:rPr>
        <w:t>契約情報</w:t>
      </w:r>
    </w:p>
    <w:tbl>
      <w:tblPr>
        <w:tblStyle w:val="TableGrid"/>
        <w:tblW w:type="auto" w:w="0"/>
        <w:jc w:val="center"/>
        <w:tblLook w:firstColumn="1" w:firstRow="1" w:lastColumn="0" w:lastRow="0" w:noHBand="0" w:noVBand="1" w:val="04A0"/>
      </w:tblPr>
      <w:tblGrid>
        <w:gridCol w:w="2436"/>
        <w:gridCol w:w="2436"/>
        <w:gridCol w:w="2436"/>
        <w:gridCol w:w="2436"/>
      </w:tblGrid>
      <w:tr>
        <w:tc>
          <w:tcPr>
            <w:tcW w:type="dxa" w:w="2436"/>
            <w:vAlign w:val="center"/>
            <w:shd w:fill="F2F2F2"/>
          </w:tcPr>
          <w:p>
            <w:pPr>
              <w:spacing w:after="0"/>
            </w:pPr>
            <w:r>
              <w:rPr>
                <w:rFonts w:ascii="Noto Serif CJK JP" w:hAnsi="Noto Serif CJK JP" w:eastAsia="Noto Serif CJK JP"/>
                <w:b/>
                <w:sz w:val="18"/>
              </w:rPr>
              <w:t>買取業者名称</w:t>
            </w:r>
          </w:p>
        </w:tc>
        <w:tc>
          <w:tcPr>
            <w:tcW w:type="dxa" w:w="2436"/>
            <w:vAlign w:val="center"/>
          </w:tcPr>
          <w:p>
            <w:pPr>
              <w:spacing w:after="0"/>
            </w:pPr>
            <w:r>
              <w:rPr>
                <w:rFonts w:ascii="Noto Serif CJK JP" w:hAnsi="Noto Serif CJK JP" w:eastAsia="Noto Serif CJK JP"/>
                <w:b w:val="0"/>
                <w:sz w:val="18"/>
              </w:rPr>
              <w:t>株式会社〇〇</w:t>
            </w:r>
          </w:p>
        </w:tc>
        <w:tc>
          <w:tcPr>
            <w:tcW w:type="dxa" w:w="2436"/>
            <w:vAlign w:val="center"/>
            <w:shd w:fill="F2F2F2"/>
          </w:tcPr>
          <w:p>
            <w:pPr>
              <w:spacing w:after="0"/>
            </w:pPr>
            <w:r>
              <w:rPr>
                <w:rFonts w:ascii="Noto Serif CJK JP" w:hAnsi="Noto Serif CJK JP" w:eastAsia="Noto Serif CJK JP"/>
                <w:b/>
                <w:sz w:val="18"/>
              </w:rPr>
              <w:t>代表者</w:t>
            </w:r>
          </w:p>
        </w:tc>
        <w:tc>
          <w:tcPr>
            <w:tcW w:type="dxa" w:w="2436"/>
            <w:vAlign w:val="center"/>
          </w:tcPr>
          <w:p>
            <w:pPr>
              <w:spacing w:after="0"/>
            </w:pPr>
            <w:r>
              <w:rPr>
                <w:rFonts w:ascii="Noto Serif CJK JP" w:hAnsi="Noto Serif CJK JP" w:eastAsia="Noto Serif CJK JP"/>
                <w:b w:val="0"/>
                <w:sz w:val="18"/>
              </w:rPr>
              <w:t>〇〇〇〇</w:t>
            </w:r>
          </w:p>
        </w:tc>
      </w:tr>
      <w:tr>
        <w:tc>
          <w:tcPr>
            <w:tcW w:type="dxa" w:w="2436"/>
            <w:vAlign w:val="center"/>
            <w:shd w:fill="F2F2F2"/>
          </w:tcPr>
          <w:p>
            <w:pPr>
              <w:spacing w:after="0"/>
            </w:pPr>
            <w:r>
              <w:rPr>
                <w:rFonts w:ascii="Noto Serif CJK JP" w:hAnsi="Noto Serif CJK JP" w:eastAsia="Noto Serif CJK JP"/>
                <w:b/>
                <w:sz w:val="18"/>
              </w:rPr>
              <w:t>所在地</w:t>
            </w:r>
          </w:p>
        </w:tc>
        <w:tc>
          <w:tcPr>
            <w:tcW w:type="dxa" w:w="2436"/>
            <w:vAlign w:val="center"/>
          </w:tcPr>
          <w:p>
            <w:pPr>
              <w:spacing w:after="0"/>
            </w:pPr>
            <w:r>
              <w:rPr>
                <w:rFonts w:ascii="Noto Serif CJK JP" w:hAnsi="Noto Serif CJK JP" w:eastAsia="Noto Serif CJK JP"/>
                <w:b w:val="0"/>
                <w:sz w:val="18"/>
              </w:rPr>
              <w:t xml:space="preserve">〒　　　　　　　　　　　　　　　　</w:t>
            </w:r>
          </w:p>
        </w:tc>
        <w:tc>
          <w:tcPr>
            <w:tcW w:type="dxa" w:w="2436"/>
            <w:vAlign w:val="center"/>
            <w:shd w:fill="F2F2F2"/>
          </w:tcPr>
          <w:p>
            <w:pPr>
              <w:spacing w:after="0"/>
            </w:pPr>
            <w:r>
              <w:rPr>
                <w:rFonts w:ascii="Noto Serif CJK JP" w:hAnsi="Noto Serif CJK JP" w:eastAsia="Noto Serif CJK JP"/>
                <w:b/>
                <w:sz w:val="18"/>
              </w:rPr>
              <w:t>電話番号</w:t>
            </w:r>
          </w:p>
        </w:tc>
        <w:tc>
          <w:tcPr>
            <w:tcW w:type="dxa" w:w="2436"/>
            <w:vAlign w:val="center"/>
          </w:tcPr>
          <w:p>
            <w:pPr>
              <w:spacing w:after="0"/>
            </w:pPr>
            <w:r>
              <w:rPr>
                <w:rFonts w:ascii="Noto Serif CJK JP" w:hAnsi="Noto Serif CJK JP" w:eastAsia="Noto Serif CJK JP"/>
                <w:b w:val="0"/>
                <w:sz w:val="18"/>
              </w:rPr>
              <w:t xml:space="preserve">　　　　　　　　　</w:t>
            </w:r>
          </w:p>
        </w:tc>
      </w:tr>
      <w:tr>
        <w:tc>
          <w:tcPr>
            <w:tcW w:type="dxa" w:w="2436"/>
            <w:vAlign w:val="center"/>
            <w:shd w:fill="F2F2F2"/>
          </w:tcPr>
          <w:p>
            <w:pPr>
              <w:spacing w:after="0"/>
            </w:pPr>
            <w:r>
              <w:rPr>
                <w:rFonts w:ascii="Noto Serif CJK JP" w:hAnsi="Noto Serif CJK JP" w:eastAsia="Noto Serif CJK JP"/>
                <w:b/>
                <w:sz w:val="18"/>
              </w:rPr>
              <w:t>古物商許可</w:t>
            </w:r>
          </w:p>
        </w:tc>
        <w:tc>
          <w:tcPr>
            <w:tcW w:type="dxa" w:w="2436"/>
            <w:vAlign w:val="center"/>
          </w:tcPr>
          <w:p>
            <w:pPr>
              <w:spacing w:after="0"/>
            </w:pPr>
            <w:r>
              <w:rPr>
                <w:rFonts w:ascii="Noto Serif CJK JP" w:hAnsi="Noto Serif CJK JP" w:eastAsia="Noto Serif CJK JP"/>
                <w:b w:val="0"/>
                <w:sz w:val="18"/>
              </w:rPr>
              <w:t>公安委員会　第　　　　　　　　　号</w:t>
            </w:r>
          </w:p>
        </w:tc>
        <w:tc>
          <w:tcPr>
            <w:tcW w:type="dxa" w:w="2436"/>
            <w:vAlign w:val="center"/>
            <w:shd w:fill="F2F2F2"/>
          </w:tcPr>
          <w:p>
            <w:pPr>
              <w:spacing w:after="0"/>
            </w:pPr>
            <w:r>
              <w:rPr>
                <w:rFonts w:ascii="Noto Serif CJK JP" w:hAnsi="Noto Serif CJK JP" w:eastAsia="Noto Serif CJK JP"/>
                <w:b/>
                <w:sz w:val="18"/>
              </w:rPr>
              <w:t>担当者名</w:t>
            </w:r>
          </w:p>
        </w:tc>
        <w:tc>
          <w:tcPr>
            <w:tcW w:type="dxa" w:w="2436"/>
            <w:vAlign w:val="center"/>
          </w:tcPr>
          <w:p>
            <w:pPr>
              <w:spacing w:after="0"/>
            </w:pPr>
            <w:r>
              <w:rPr>
                <w:rFonts w:ascii="Noto Serif CJK JP" w:hAnsi="Noto Serif CJK JP" w:eastAsia="Noto Serif CJK JP"/>
                <w:b w:val="0"/>
                <w:sz w:val="18"/>
              </w:rPr>
              <w:t xml:space="preserve">　　　　　　　　　</w:t>
            </w:r>
          </w:p>
        </w:tc>
      </w:tr>
      <w:tr>
        <w:tc>
          <w:tcPr>
            <w:tcW w:type="dxa" w:w="2436"/>
            <w:vAlign w:val="center"/>
            <w:shd w:fill="F2F2F2"/>
          </w:tcPr>
          <w:p>
            <w:pPr>
              <w:spacing w:after="0"/>
            </w:pPr>
            <w:r>
              <w:rPr>
                <w:rFonts w:ascii="Noto Serif CJK JP" w:hAnsi="Noto Serif CJK JP" w:eastAsia="Noto Serif CJK JP"/>
                <w:b/>
                <w:sz w:val="18"/>
              </w:rPr>
              <w:t>契約締結日</w:t>
            </w:r>
          </w:p>
        </w:tc>
        <w:tc>
          <w:tcPr>
            <w:tcW w:type="dxa" w:w="2436"/>
            <w:vAlign w:val="center"/>
          </w:tcPr>
          <w:p>
            <w:pPr>
              <w:spacing w:after="0"/>
            </w:pPr>
            <w:r>
              <w:rPr>
                <w:rFonts w:ascii="Noto Serif CJK JP" w:hAnsi="Noto Serif CJK JP" w:eastAsia="Noto Serif CJK JP"/>
                <w:b w:val="0"/>
                <w:sz w:val="18"/>
              </w:rPr>
              <w:t xml:space="preserve">　　　　年　　月　　日</w:t>
            </w:r>
          </w:p>
        </w:tc>
        <w:tc>
          <w:tcPr>
            <w:tcW w:type="dxa" w:w="2436"/>
            <w:vAlign w:val="center"/>
            <w:shd w:fill="F2F2F2"/>
          </w:tcPr>
          <w:p>
            <w:pPr>
              <w:spacing w:after="0"/>
            </w:pPr>
            <w:r>
              <w:rPr>
                <w:rFonts w:ascii="Noto Serif CJK JP" w:hAnsi="Noto Serif CJK JP" w:eastAsia="Noto Serif CJK JP"/>
                <w:b/>
                <w:sz w:val="18"/>
              </w:rPr>
              <w:t>契約場所</w:t>
            </w:r>
          </w:p>
        </w:tc>
        <w:tc>
          <w:tcPr>
            <w:tcW w:type="dxa" w:w="2436"/>
            <w:vAlign w:val="center"/>
          </w:tcPr>
          <w:p>
            <w:pPr>
              <w:spacing w:after="0"/>
            </w:pPr>
            <w:r>
              <w:rPr>
                <w:rFonts w:ascii="Noto Serif CJK JP" w:hAnsi="Noto Serif CJK JP" w:eastAsia="Noto Serif CJK JP"/>
                <w:b w:val="0"/>
                <w:sz w:val="18"/>
              </w:rPr>
              <w:t xml:space="preserve">　　　　　　　　　</w:t>
            </w:r>
          </w:p>
        </w:tc>
      </w:tr>
      <w:tr>
        <w:tc>
          <w:tcPr>
            <w:tcW w:type="dxa" w:w="2436"/>
            <w:vAlign w:val="center"/>
            <w:shd w:fill="F2F2F2"/>
          </w:tcPr>
          <w:p>
            <w:pPr>
              <w:spacing w:after="0"/>
            </w:pPr>
            <w:r>
              <w:rPr>
                <w:rFonts w:ascii="Noto Serif CJK JP" w:hAnsi="Noto Serif CJK JP" w:eastAsia="Noto Serif CJK JP"/>
                <w:b/>
                <w:sz w:val="18"/>
              </w:rPr>
              <w:t>売主氏名</w:t>
            </w:r>
          </w:p>
        </w:tc>
        <w:tc>
          <w:tcPr>
            <w:tcW w:type="dxa" w:w="2436"/>
            <w:vAlign w:val="center"/>
          </w:tcPr>
          <w:p>
            <w:pPr>
              <w:spacing w:after="0"/>
            </w:pPr>
            <w:r>
              <w:rPr>
                <w:rFonts w:ascii="Noto Serif CJK JP" w:hAnsi="Noto Serif CJK JP" w:eastAsia="Noto Serif CJK JP"/>
                <w:b w:val="0"/>
                <w:sz w:val="18"/>
              </w:rPr>
              <w:t xml:space="preserve">　　　　　　　　　　　　　　　　</w:t>
            </w:r>
          </w:p>
        </w:tc>
        <w:tc>
          <w:tcPr>
            <w:tcW w:type="dxa" w:w="2436"/>
            <w:vAlign w:val="center"/>
            <w:shd w:fill="F2F2F2"/>
          </w:tcPr>
          <w:p>
            <w:pPr>
              <w:spacing w:after="0"/>
            </w:pPr>
            <w:r>
              <w:rPr>
                <w:rFonts w:ascii="Noto Serif CJK JP" w:hAnsi="Noto Serif CJK JP" w:eastAsia="Noto Serif CJK JP"/>
                <w:b/>
                <w:sz w:val="18"/>
              </w:rPr>
              <w:t>年齢</w:t>
            </w:r>
          </w:p>
        </w:tc>
        <w:tc>
          <w:tcPr>
            <w:tcW w:type="dxa" w:w="2436"/>
            <w:vAlign w:val="center"/>
          </w:tcPr>
          <w:p>
            <w:pPr>
              <w:spacing w:after="0"/>
            </w:pPr>
            <w:r>
              <w:rPr>
                <w:rFonts w:ascii="Noto Serif CJK JP" w:hAnsi="Noto Serif CJK JP" w:eastAsia="Noto Serif CJK JP"/>
                <w:b w:val="0"/>
                <w:sz w:val="18"/>
              </w:rPr>
              <w:t xml:space="preserve">　　　歳</w:t>
            </w:r>
          </w:p>
        </w:tc>
      </w:tr>
      <w:tr>
        <w:tc>
          <w:tcPr>
            <w:tcW w:type="dxa" w:w="2436"/>
            <w:vAlign w:val="center"/>
            <w:shd w:fill="F2F2F2"/>
          </w:tcPr>
          <w:p>
            <w:pPr>
              <w:spacing w:after="0"/>
            </w:pPr>
            <w:r>
              <w:rPr>
                <w:rFonts w:ascii="Noto Serif CJK JP" w:hAnsi="Noto Serif CJK JP" w:eastAsia="Noto Serif CJK JP"/>
                <w:b/>
                <w:sz w:val="18"/>
              </w:rPr>
              <w:t>売主住所</w:t>
            </w:r>
          </w:p>
        </w:tc>
        <w:tc>
          <w:tcPr>
            <w:tcW w:type="dxa" w:w="2436"/>
            <w:vAlign w:val="center"/>
          </w:tcPr>
          <w:p>
            <w:pPr>
              <w:spacing w:after="0"/>
            </w:pPr>
            <w:r>
              <w:rPr>
                <w:rFonts w:ascii="Noto Serif CJK JP" w:hAnsi="Noto Serif CJK JP" w:eastAsia="Noto Serif CJK JP"/>
                <w:b w:val="0"/>
                <w:sz w:val="18"/>
              </w:rPr>
              <w:t xml:space="preserve">〒　　　　　　　　　　　　　　　　</w:t>
            </w:r>
          </w:p>
        </w:tc>
        <w:tc>
          <w:tcPr>
            <w:tcW w:type="dxa" w:w="2436"/>
            <w:vAlign w:val="center"/>
            <w:shd w:fill="F2F2F2"/>
          </w:tcPr>
          <w:p>
            <w:pPr>
              <w:spacing w:after="0"/>
            </w:pPr>
            <w:r>
              <w:rPr>
                <w:rFonts w:ascii="Noto Serif CJK JP" w:hAnsi="Noto Serif CJK JP" w:eastAsia="Noto Serif CJK JP"/>
                <w:b/>
                <w:sz w:val="18"/>
              </w:rPr>
              <w:t>職業</w:t>
            </w:r>
          </w:p>
        </w:tc>
        <w:tc>
          <w:tcPr>
            <w:tcW w:type="dxa" w:w="2436"/>
            <w:vAlign w:val="center"/>
          </w:tcPr>
          <w:p>
            <w:pPr>
              <w:spacing w:after="0"/>
            </w:pPr>
            <w:r>
              <w:rPr>
                <w:rFonts w:ascii="Noto Serif CJK JP" w:hAnsi="Noto Serif CJK JP" w:eastAsia="Noto Serif CJK JP"/>
                <w:b w:val="0"/>
                <w:sz w:val="18"/>
              </w:rPr>
              <w:t xml:space="preserve">　　　　　　　　　</w:t>
            </w:r>
          </w:p>
        </w:tc>
      </w:tr>
      <w:tr>
        <w:tc>
          <w:tcPr>
            <w:tcW w:type="dxa" w:w="2436"/>
            <w:vAlign w:val="center"/>
            <w:shd w:fill="F2F2F2"/>
          </w:tcPr>
          <w:p>
            <w:pPr>
              <w:spacing w:after="0"/>
            </w:pPr>
            <w:r>
              <w:rPr>
                <w:rFonts w:ascii="Noto Serif CJK JP" w:hAnsi="Noto Serif CJK JP" w:eastAsia="Noto Serif CJK JP"/>
                <w:b/>
                <w:sz w:val="18"/>
              </w:rPr>
              <w:t>売主電話番号</w:t>
            </w:r>
          </w:p>
        </w:tc>
        <w:tc>
          <w:tcPr>
            <w:tcW w:type="dxa" w:w="2436"/>
            <w:vAlign w:val="center"/>
          </w:tcPr>
          <w:p>
            <w:pPr>
              <w:spacing w:after="0"/>
            </w:pPr>
            <w:r>
              <w:rPr>
                <w:rFonts w:ascii="Noto Serif CJK JP" w:hAnsi="Noto Serif CJK JP" w:eastAsia="Noto Serif CJK JP"/>
                <w:b w:val="0"/>
                <w:sz w:val="18"/>
              </w:rPr>
              <w:t xml:space="preserve">　　　　　　　　　　　　　　　　</w:t>
            </w:r>
          </w:p>
        </w:tc>
        <w:tc>
          <w:tcPr>
            <w:tcW w:type="dxa" w:w="2436"/>
            <w:vAlign w:val="center"/>
            <w:shd w:fill="F2F2F2"/>
          </w:tcPr>
          <w:p>
            <w:pPr>
              <w:spacing w:after="0"/>
            </w:pPr>
            <w:r>
              <w:rPr>
                <w:rFonts w:ascii="Noto Serif CJK JP" w:hAnsi="Noto Serif CJK JP" w:eastAsia="Noto Serif CJK JP"/>
                <w:b/>
                <w:sz w:val="18"/>
              </w:rPr>
              <w:t>本人確認方法</w:t>
            </w:r>
          </w:p>
        </w:tc>
        <w:tc>
          <w:tcPr>
            <w:tcW w:type="dxa" w:w="2436"/>
            <w:vAlign w:val="center"/>
          </w:tcPr>
          <w:p>
            <w:pPr>
              <w:spacing w:after="0"/>
            </w:pPr>
            <w:r>
              <w:rPr>
                <w:rFonts w:ascii="Noto Serif CJK JP" w:hAnsi="Noto Serif CJK JP" w:eastAsia="Noto Serif CJK JP"/>
                <w:b w:val="0"/>
                <w:sz w:val="18"/>
              </w:rPr>
              <w:t xml:space="preserve">　　　　　　　　　</w:t>
            </w:r>
          </w:p>
        </w:tc>
      </w:tr>
      <w:tr>
        <w:tc>
          <w:tcPr>
            <w:tcW w:type="dxa" w:w="2436"/>
            <w:vAlign w:val="center"/>
            <w:shd w:fill="F2F2F2"/>
          </w:tcPr>
          <w:p>
            <w:pPr>
              <w:spacing w:after="0"/>
            </w:pPr>
            <w:r>
              <w:rPr>
                <w:rFonts w:ascii="Noto Serif CJK JP" w:hAnsi="Noto Serif CJK JP" w:eastAsia="Noto Serif CJK JP"/>
                <w:b/>
                <w:sz w:val="18"/>
              </w:rPr>
              <w:t>代金支払時期</w:t>
            </w:r>
          </w:p>
        </w:tc>
        <w:tc>
          <w:tcPr>
            <w:tcW w:type="dxa" w:w="2436"/>
            <w:vAlign w:val="center"/>
          </w:tcPr>
          <w:p>
            <w:pPr>
              <w:spacing w:after="0"/>
            </w:pPr>
            <w:r>
              <w:rPr>
                <w:rFonts w:ascii="Noto Serif CJK JP" w:hAnsi="Noto Serif CJK JP" w:eastAsia="Noto Serif CJK JP"/>
                <w:b w:val="0"/>
                <w:sz w:val="18"/>
              </w:rPr>
              <w:t xml:space="preserve">　　　　　　　　　　　　　　　　</w:t>
            </w:r>
          </w:p>
        </w:tc>
        <w:tc>
          <w:tcPr>
            <w:tcW w:type="dxa" w:w="2436"/>
            <w:vAlign w:val="center"/>
            <w:shd w:fill="F2F2F2"/>
          </w:tcPr>
          <w:p>
            <w:pPr>
              <w:spacing w:after="0"/>
            </w:pPr>
            <w:r>
              <w:rPr>
                <w:rFonts w:ascii="Noto Serif CJK JP" w:hAnsi="Noto Serif CJK JP" w:eastAsia="Noto Serif CJK JP"/>
                <w:b/>
                <w:sz w:val="18"/>
              </w:rPr>
              <w:t>支払方法</w:t>
            </w:r>
          </w:p>
        </w:tc>
        <w:tc>
          <w:tcPr>
            <w:tcW w:type="dxa" w:w="2436"/>
            <w:vAlign w:val="center"/>
          </w:tcPr>
          <w:p>
            <w:pPr>
              <w:spacing w:after="0"/>
            </w:pPr>
            <w:r>
              <w:rPr>
                <w:rFonts w:ascii="Noto Serif CJK JP" w:hAnsi="Noto Serif CJK JP" w:eastAsia="Noto Serif CJK JP"/>
                <w:b w:val="0"/>
                <w:sz w:val="18"/>
              </w:rPr>
              <w:t>□現金　□振込　□その他</w:t>
            </w:r>
          </w:p>
        </w:tc>
      </w:tr>
      <w:tr>
        <w:tc>
          <w:tcPr>
            <w:tcW w:type="dxa" w:w="2436"/>
            <w:vAlign w:val="center"/>
            <w:shd w:fill="F2F2F2"/>
          </w:tcPr>
          <w:p>
            <w:pPr>
              <w:spacing w:after="0"/>
            </w:pPr>
            <w:r>
              <w:rPr>
                <w:rFonts w:ascii="Noto Serif CJK JP" w:hAnsi="Noto Serif CJK JP" w:eastAsia="Noto Serif CJK JP"/>
                <w:b/>
                <w:sz w:val="18"/>
              </w:rPr>
              <w:t>物品引渡時期</w:t>
            </w:r>
          </w:p>
        </w:tc>
        <w:tc>
          <w:tcPr>
            <w:tcW w:type="dxa" w:w="2436"/>
            <w:vAlign w:val="center"/>
          </w:tcPr>
          <w:p>
            <w:pPr>
              <w:spacing w:after="0"/>
            </w:pPr>
            <w:r>
              <w:rPr>
                <w:rFonts w:ascii="Noto Serif CJK JP" w:hAnsi="Noto Serif CJK JP" w:eastAsia="Noto Serif CJK JP"/>
                <w:b w:val="0"/>
                <w:sz w:val="18"/>
              </w:rPr>
              <w:t xml:space="preserve">　　　　　　　　　　　　　　　　</w:t>
            </w:r>
          </w:p>
        </w:tc>
        <w:tc>
          <w:tcPr>
            <w:tcW w:type="dxa" w:w="2436"/>
            <w:vAlign w:val="center"/>
            <w:shd w:fill="F2F2F2"/>
          </w:tcPr>
          <w:p>
            <w:pPr>
              <w:spacing w:after="0"/>
            </w:pPr>
            <w:r>
              <w:rPr>
                <w:rFonts w:ascii="Noto Serif CJK JP" w:hAnsi="Noto Serif CJK JP" w:eastAsia="Noto Serif CJK JP"/>
                <w:b/>
                <w:sz w:val="18"/>
              </w:rPr>
              <w:t>引渡方法</w:t>
            </w:r>
          </w:p>
        </w:tc>
        <w:tc>
          <w:tcPr>
            <w:tcW w:type="dxa" w:w="2436"/>
            <w:vAlign w:val="center"/>
          </w:tcPr>
          <w:p>
            <w:pPr>
              <w:spacing w:after="0"/>
            </w:pPr>
            <w:r>
              <w:rPr>
                <w:rFonts w:ascii="Noto Serif CJK JP" w:hAnsi="Noto Serif CJK JP" w:eastAsia="Noto Serif CJK JP"/>
                <w:b w:val="0"/>
                <w:sz w:val="18"/>
              </w:rPr>
              <w:t>□当日　□後日　□その他</w:t>
            </w:r>
          </w:p>
        </w:tc>
      </w:tr>
      <w:tr>
        <w:tc>
          <w:tcPr>
            <w:tcW w:type="dxa" w:w="2436"/>
            <w:vAlign w:val="center"/>
            <w:shd w:fill="F2F2F2"/>
          </w:tcPr>
          <w:p>
            <w:pPr>
              <w:spacing w:after="0"/>
            </w:pPr>
            <w:r>
              <w:rPr>
                <w:rFonts w:ascii="Noto Serif CJK JP" w:hAnsi="Noto Serif CJK JP" w:eastAsia="Noto Serif CJK JP"/>
                <w:b/>
                <w:sz w:val="18"/>
              </w:rPr>
              <w:t>クーリング・オフ通知先</w:t>
            </w:r>
          </w:p>
        </w:tc>
        <w:tc>
          <w:tcPr>
            <w:tcW w:type="dxa" w:w="2436"/>
            <w:vAlign w:val="center"/>
          </w:tcPr>
          <w:p>
            <w:pPr>
              <w:spacing w:after="0"/>
            </w:pPr>
            <w:r>
              <w:rPr>
                <w:rFonts w:ascii="Noto Serif CJK JP" w:hAnsi="Noto Serif CJK JP" w:eastAsia="Noto Serif CJK JP"/>
                <w:b w:val="0"/>
                <w:sz w:val="18"/>
              </w:rPr>
              <w:t xml:space="preserve">住所：　　　　　　　　　　　　　　　　　　　　　　　　　　　</w:t>
            </w:r>
          </w:p>
        </w:tc>
        <w:tc>
          <w:tcPr>
            <w:tcW w:type="dxa" w:w="2436"/>
            <w:vAlign w:val="center"/>
            <w:shd w:fill="F2F2F2"/>
          </w:tcPr>
          <w:p>
            <w:pPr>
              <w:spacing w:after="0"/>
            </w:pPr>
            <w:r>
              <w:rPr>
                <w:rFonts w:ascii="Noto Serif CJK JP" w:hAnsi="Noto Serif CJK JP" w:eastAsia="Noto Serif CJK JP"/>
                <w:b/>
                <w:sz w:val="18"/>
              </w:rPr>
              <w:t>電子メール等</w:t>
            </w:r>
          </w:p>
        </w:tc>
        <w:tc>
          <w:tcPr>
            <w:tcW w:type="dxa" w:w="2436"/>
            <w:vAlign w:val="center"/>
          </w:tcPr>
          <w:p>
            <w:pPr>
              <w:spacing w:after="0"/>
            </w:pPr>
            <w:r>
              <w:rPr>
                <w:rFonts w:ascii="Noto Serif CJK JP" w:hAnsi="Noto Serif CJK JP" w:eastAsia="Noto Serif CJK JP"/>
                <w:b w:val="0"/>
                <w:sz w:val="18"/>
              </w:rPr>
              <w:t xml:space="preserve">　　　　　　　　　</w:t>
            </w:r>
          </w:p>
        </w:tc>
      </w:tr>
    </w:tbl>
    <w:p/>
    <w:tbl>
      <w:tblPr>
        <w:tblW w:type="auto" w:w="0"/>
        <w:jc w:val="center"/>
        <w:tblLook w:firstColumn="1" w:firstRow="1" w:lastColumn="0" w:lastRow="0" w:noHBand="0" w:noVBand="1" w:val="04A0"/>
      </w:tblPr>
      <w:tblGrid>
        <w:gridCol w:w="9746"/>
      </w:tblGrid>
      <w:tr>
        <w:tc>
          <w:tcPr>
            <w:tcW w:type="dxa" w:w="9746"/>
            <w:tcBorders>
              <w:top w:val="single" w:sz="18" w:color="C00000"/>
              <w:left w:val="single" w:sz="18" w:color="C00000"/>
              <w:bottom w:val="single" w:sz="18" w:color="C00000"/>
              <w:right w:val="single" w:sz="18" w:color="C00000"/>
            </w:tcBorders>
          </w:tcPr>
          <w:p>
            <w:pPr>
              <w:spacing w:after="100"/>
              <w:jc w:val="center"/>
            </w:pPr>
            <w:r>
              <w:rPr>
                <w:rFonts w:ascii="Noto Serif CJK JP" w:hAnsi="Noto Serif CJK JP" w:eastAsia="Noto Serif CJK JP"/>
                <w:b/>
                <w:color w:val="C00000"/>
                <w:sz w:val="21"/>
              </w:rPr>
              <w:t>重要　クーリング・オフおよび物品の引渡し拒絶について</w:t>
            </w:r>
          </w:p>
          <w:p>
            <w:pPr>
              <w:spacing w:after="40"/>
              <w:ind w:left="227" w:hanging="170"/>
            </w:pPr>
            <w:r>
              <w:rPr>
                <w:rFonts w:ascii="Noto Serif CJK JP" w:hAnsi="Noto Serif CJK JP" w:eastAsia="Noto Serif CJK JP"/>
                <w:b w:val="0"/>
                <w:color w:val="C00000"/>
                <w:sz w:val="18"/>
              </w:rPr>
              <w:t>・本件取引が特定商取引法上の訪問購入に該当し、法令上の適用除外に該当しない場合、売主は、法令所定の契約書面等を受領した日から起算して8日を経過するまで、書面又は電磁的記録により、申込みの撤回又は契約の解除（クーリング・オフ）を行うことができます。</w:t>
            </w:r>
          </w:p>
          <w:p>
            <w:pPr>
              <w:spacing w:after="40"/>
              <w:ind w:left="227" w:hanging="170"/>
            </w:pPr>
            <w:r>
              <w:rPr>
                <w:rFonts w:ascii="Noto Serif CJK JP" w:hAnsi="Noto Serif CJK JP" w:eastAsia="Noto Serif CJK JP"/>
                <w:b w:val="0"/>
                <w:color w:val="C00000"/>
                <w:sz w:val="18"/>
              </w:rPr>
              <w:t>・クーリング・オフは、売主がその通知を発した時に効力を生じます。買取業者は、クーリング・オフに伴う損害賠償、違約金、キャンセル料その他これらに類する金銭を請求しません。</w:t>
            </w:r>
          </w:p>
          <w:p>
            <w:pPr>
              <w:spacing w:after="40"/>
              <w:ind w:left="227" w:hanging="170"/>
            </w:pPr>
            <w:r>
              <w:rPr>
                <w:rFonts w:ascii="Noto Serif CJK JP" w:hAnsi="Noto Serif CJK JP" w:eastAsia="Noto Serif CJK JP"/>
                <w:b w:val="0"/>
                <w:color w:val="C00000"/>
                <w:sz w:val="18"/>
              </w:rPr>
              <w:t>・売主が既に代金を受領している場合、代金返還に要する費用および法令上売主が負担しないものとされる利息等は買取業者の負担とします。売主が既に物品を引き渡している場合、買取業者は自己の負担で物品を返還します。</w:t>
            </w:r>
          </w:p>
          <w:p>
            <w:pPr>
              <w:spacing w:after="40"/>
              <w:ind w:left="227" w:hanging="170"/>
            </w:pPr>
            <w:r>
              <w:rPr>
                <w:rFonts w:ascii="Noto Serif CJK JP" w:hAnsi="Noto Serif CJK JP" w:eastAsia="Noto Serif CJK JP"/>
                <w:b w:val="0"/>
                <w:color w:val="C00000"/>
                <w:sz w:val="18"/>
              </w:rPr>
              <w:t>・売主は、クーリング・オフが可能な期間中、物品の引渡期日が定められている場合であっても、債務不履行となることなく、物品の引渡しを拒むことができます。</w:t>
            </w:r>
          </w:p>
          <w:p>
            <w:pPr>
              <w:spacing w:after="40"/>
              <w:ind w:left="227" w:hanging="170"/>
            </w:pPr>
            <w:r>
              <w:rPr>
                <w:rFonts w:ascii="Noto Serif CJK JP" w:hAnsi="Noto Serif CJK JP" w:eastAsia="Noto Serif CJK JP"/>
                <w:b w:val="0"/>
                <w:color w:val="C00000"/>
                <w:sz w:val="18"/>
              </w:rPr>
              <w:t>・買取業者がクーリング・オフについて事実と異なる説明をし、又は威迫して売主を困惑させたことにより期間内にクーリング・オフできなかった場合には、法令に定めるところにより、8日経過後もクーリング・オフできる場合があります。</w:t>
            </w:r>
          </w:p>
          <w:p>
            <w:pPr>
              <w:spacing w:after="40"/>
              <w:ind w:left="227" w:hanging="170"/>
            </w:pPr>
            <w:r>
              <w:rPr>
                <w:rFonts w:ascii="Noto Serif CJK JP" w:hAnsi="Noto Serif CJK JP" w:eastAsia="Noto Serif CJK JP"/>
                <w:b w:val="0"/>
                <w:color w:val="C00000"/>
                <w:sz w:val="18"/>
              </w:rPr>
              <w:t>・上記の権利を売主に不利に制限する特約は、法令により無効となる場合があります。</w:t>
            </w:r>
          </w:p>
        </w:tc>
      </w:tr>
    </w:tbl>
    <w:p>
      <w:pPr>
        <w:pStyle w:val="ClauseHeading"/>
      </w:pPr>
      <w:r>
        <w:rPr>
          <w:rFonts w:ascii="Noto Serif CJK JP" w:hAnsi="Noto Serif CJK JP" w:eastAsia="Noto Serif CJK JP"/>
          <w:b/>
        </w:rPr>
        <w:t>第1条（目的および適用法令）</w:t>
      </w:r>
    </w:p>
    <w:p>
      <w:pPr>
        <w:ind w:left="0" w:firstLine="0"/>
      </w:pPr>
      <w:r>
        <w:rPr>
          <w:rFonts w:ascii="Noto Serif CJK JP" w:hAnsi="Noto Serif CJK JP" w:eastAsia="Noto Serif CJK JP"/>
          <w:b w:val="0"/>
        </w:rPr>
        <w:t>1　本契約は、売主が所有し、又は適法な処分権限を有する物品を買取業者が出張により査定・購入する際の条件および当事者の権利義務を定めることを目的とする。</w:t>
      </w:r>
    </w:p>
    <w:p>
      <w:pPr>
        <w:ind w:left="0" w:firstLine="0"/>
      </w:pPr>
      <w:r>
        <w:rPr>
          <w:rFonts w:ascii="Noto Serif CJK JP" w:hAnsi="Noto Serif CJK JP" w:eastAsia="Noto Serif CJK JP"/>
          <w:b w:val="0"/>
        </w:rPr>
        <w:t>2　本契約の解釈および履行にあたっては、特定商取引に関する法律、同施行令・施行規則、古物営業法、犯罪による収益の移転防止に関する法律、個人情報の保護に関する法律、民法、消費者契約法その他適用のある法令を優先して適用する。</w:t>
      </w:r>
    </w:p>
    <w:p>
      <w:pPr>
        <w:pStyle w:val="ClauseHeading"/>
      </w:pPr>
      <w:r>
        <w:rPr>
          <w:rFonts w:ascii="Noto Serif CJK JP" w:hAnsi="Noto Serif CJK JP" w:eastAsia="Noto Serif CJK JP"/>
          <w:b/>
        </w:rPr>
        <w:t>第2条（訪問購入への該当性および適用除外）</w:t>
      </w:r>
    </w:p>
    <w:p>
      <w:pPr>
        <w:ind w:left="0" w:firstLine="0"/>
      </w:pPr>
      <w:r>
        <w:rPr>
          <w:rFonts w:ascii="Noto Serif CJK JP" w:hAnsi="Noto Serif CJK JP" w:eastAsia="Noto Serif CJK JP"/>
          <w:b w:val="0"/>
        </w:rPr>
        <w:t>1　買取業者が営業所等以外の場所において、物品の購入を業として行う取引が特定商取引法上の訪問購入に該当する場合、同法の訪問購入に関する規定が適用される。</w:t>
      </w:r>
    </w:p>
    <w:p>
      <w:pPr>
        <w:ind w:left="0" w:firstLine="0"/>
      </w:pPr>
      <w:r>
        <w:rPr>
          <w:rFonts w:ascii="Noto Serif CJK JP" w:hAnsi="Noto Serif CJK JP" w:eastAsia="Noto Serif CJK JP"/>
          <w:b w:val="0"/>
        </w:rPr>
        <w:t>2　ただし、取引対象物品又は取引態様が同法、同施行令その他の法令に定める適用除外に該当する場合は、その範囲で訪問購入に関する規定の全部又は一部が適用されない。</w:t>
      </w:r>
    </w:p>
    <w:p>
      <w:pPr>
        <w:ind w:left="0" w:firstLine="0"/>
      </w:pPr>
      <w:r>
        <w:rPr>
          <w:rFonts w:ascii="Noto Serif CJK JP" w:hAnsi="Noto Serif CJK JP" w:eastAsia="Noto Serif CJK JP"/>
          <w:b w:val="0"/>
        </w:rPr>
        <w:t>3　前項の適用除外の有無は、契約締結時点の法令および実際の取引態様に基づき判断するものとし、本契約は法令上認められる売主の権利を制限するものではない。</w:t>
      </w:r>
    </w:p>
    <w:p>
      <w:pPr>
        <w:pStyle w:val="ClauseHeading"/>
      </w:pPr>
      <w:r>
        <w:rPr>
          <w:rFonts w:ascii="Noto Serif CJK JP" w:hAnsi="Noto Serif CJK JP" w:eastAsia="Noto Serif CJK JP"/>
          <w:b/>
        </w:rPr>
        <w:t>第3条（勧誘の要請および意思確認）</w:t>
      </w:r>
    </w:p>
    <w:p>
      <w:pPr>
        <w:ind w:left="0" w:firstLine="0"/>
      </w:pPr>
      <w:r>
        <w:rPr>
          <w:rFonts w:ascii="Noto Serif CJK JP" w:hAnsi="Noto Serif CJK JP" w:eastAsia="Noto Serif CJK JP"/>
          <w:b w:val="0"/>
        </w:rPr>
        <w:t>1　買取業者は、法令により禁止される不招請勧誘を行わず、売主から訪問購入に係る売買契約の締結について勧誘の要請がある場合に限り、法令に従って勧誘を行う。</w:t>
      </w:r>
    </w:p>
    <w:p>
      <w:pPr>
        <w:ind w:left="0" w:firstLine="0"/>
      </w:pPr>
      <w:r>
        <w:rPr>
          <w:rFonts w:ascii="Noto Serif CJK JP" w:hAnsi="Noto Serif CJK JP" w:eastAsia="Noto Serif CJK JP"/>
          <w:b w:val="0"/>
        </w:rPr>
        <w:t>2　売主が査定のみを依頼した場合、当該依頼のみをもって売買契約締結の勧誘を要請したものとは扱わない。</w:t>
      </w:r>
    </w:p>
    <w:p>
      <w:pPr>
        <w:ind w:left="0" w:firstLine="0"/>
      </w:pPr>
      <w:r>
        <w:rPr>
          <w:rFonts w:ascii="Noto Serif CJK JP" w:hAnsi="Noto Serif CJK JP" w:eastAsia="Noto Serif CJK JP"/>
          <w:b w:val="0"/>
        </w:rPr>
        <w:t>3　買取業者は、勧誘に先立ち、売主に対して勧誘を受ける意思の有無を確認し、売主が契約を締結しない意思を示した場合、当該勧誘を継続し、又は法令に反して再度勧誘しない。</w:t>
      </w:r>
    </w:p>
    <w:p>
      <w:pPr>
        <w:pStyle w:val="ClauseHeading"/>
      </w:pPr>
      <w:r>
        <w:rPr>
          <w:rFonts w:ascii="Noto Serif CJK JP" w:hAnsi="Noto Serif CJK JP" w:eastAsia="Noto Serif CJK JP"/>
          <w:b/>
        </w:rPr>
        <w:t>第4条（勧誘時の明示および禁止行為）</w:t>
      </w:r>
    </w:p>
    <w:p>
      <w:pPr>
        <w:ind w:left="0" w:firstLine="0"/>
      </w:pPr>
      <w:r>
        <w:rPr>
          <w:rFonts w:ascii="Noto Serif CJK JP" w:hAnsi="Noto Serif CJK JP" w:eastAsia="Noto Serif CJK JP"/>
          <w:b w:val="0"/>
        </w:rPr>
        <w:t>1　買取業者は、勧誘に先立ち、買取業者の氏名又は名称、売買契約の締結について勧誘する目的であること、および購入しようとする物品の種類を明示する。</w:t>
      </w:r>
    </w:p>
    <w:p>
      <w:pPr>
        <w:ind w:left="0" w:firstLine="0"/>
      </w:pPr>
      <w:r>
        <w:rPr>
          <w:rFonts w:ascii="Noto Serif CJK JP" w:hAnsi="Noto Serif CJK JP" w:eastAsia="Noto Serif CJK JP"/>
          <w:b w:val="0"/>
        </w:rPr>
        <w:t>2　買取業者は、売主に対し、重要事項について事実と異なる説明をし、故意に事実を告げず、威迫して困惑させ、又はその他法令で禁止される方法により契約の締結、物品の引渡し若しくはクーリング・オフの妨害を行わない。</w:t>
      </w:r>
    </w:p>
    <w:p>
      <w:pPr>
        <w:pStyle w:val="ClauseHeading"/>
      </w:pPr>
      <w:r>
        <w:rPr>
          <w:rFonts w:ascii="Noto Serif CJK JP" w:hAnsi="Noto Serif CJK JP" w:eastAsia="Noto Serif CJK JP"/>
          <w:b/>
        </w:rPr>
        <w:t>第5条（本件物品および査定明細）</w:t>
      </w:r>
    </w:p>
    <w:p>
      <w:pPr>
        <w:ind w:left="0" w:firstLine="0"/>
      </w:pPr>
      <w:r>
        <w:rPr>
          <w:rFonts w:ascii="Noto Serif CJK JP" w:hAnsi="Noto Serif CJK JP" w:eastAsia="Noto Serif CJK JP"/>
          <w:b w:val="0"/>
        </w:rPr>
        <w:t>1　本契約の対象となる物品（以下「本件物品」という。）の種類、品名、特徴、ブランド・製造者名、型式、数量、状態、付属品、購入価格その他必要事項は、別紙「査定・買取明細書」に記載する。</w:t>
      </w:r>
    </w:p>
    <w:p>
      <w:pPr>
        <w:ind w:left="0" w:firstLine="0"/>
      </w:pPr>
      <w:r>
        <w:rPr>
          <w:rFonts w:ascii="Noto Serif CJK JP" w:hAnsi="Noto Serif CJK JP" w:eastAsia="Noto Serif CJK JP"/>
          <w:b w:val="0"/>
        </w:rPr>
        <w:t>2　複数の物品を一括して買い取る場合であっても、可能な限り物品ごとの内容および価格を明確にする。</w:t>
      </w:r>
    </w:p>
    <w:p>
      <w:pPr>
        <w:ind w:left="0" w:firstLine="0"/>
      </w:pPr>
      <w:r>
        <w:rPr>
          <w:rFonts w:ascii="Noto Serif CJK JP" w:hAnsi="Noto Serif CJK JP" w:eastAsia="Noto Serif CJK JP"/>
          <w:b w:val="0"/>
        </w:rPr>
        <w:t>3　売主が買取を希望していない物品は、本件物品に含まれない。</w:t>
      </w:r>
    </w:p>
    <w:p>
      <w:pPr>
        <w:pStyle w:val="ClauseHeading"/>
      </w:pPr>
      <w:r>
        <w:rPr>
          <w:rFonts w:ascii="Noto Serif CJK JP" w:hAnsi="Noto Serif CJK JP" w:eastAsia="Noto Serif CJK JP"/>
          <w:b/>
        </w:rPr>
        <w:t>第6条（買取対象外物品および買取拒絶）</w:t>
      </w:r>
    </w:p>
    <w:p>
      <w:pPr>
        <w:ind w:left="0" w:firstLine="0"/>
      </w:pPr>
      <w:r>
        <w:rPr>
          <w:rFonts w:ascii="Noto Serif CJK JP" w:hAnsi="Noto Serif CJK JP" w:eastAsia="Noto Serif CJK JP"/>
          <w:b w:val="0"/>
        </w:rPr>
        <w:t>1　買取業者は、法令により売買又は所持が禁止・制限される物品、盗品若しくは遺失物である疑いがある物品、偽造品・模倣品である疑いがある物品、危険物、衛生上問題のある物品、権利関係が不明確な物品その他適法又は安全な取引が困難と判断した物品について、査定又は買取を拒絶できる。</w:t>
      </w:r>
    </w:p>
    <w:p>
      <w:pPr>
        <w:ind w:left="0" w:firstLine="0"/>
      </w:pPr>
      <w:r>
        <w:rPr>
          <w:rFonts w:ascii="Noto Serif CJK JP" w:hAnsi="Noto Serif CJK JP" w:eastAsia="Noto Serif CJK JP"/>
          <w:b w:val="0"/>
        </w:rPr>
        <w:t>2　買取業者が買取を拒絶したことのみを理由として、売主に違約金その他の負担は生じない。</w:t>
      </w:r>
    </w:p>
    <w:p>
      <w:pPr>
        <w:pStyle w:val="ClauseHeading"/>
      </w:pPr>
      <w:r>
        <w:rPr>
          <w:rFonts w:ascii="Noto Serif CJK JP" w:hAnsi="Noto Serif CJK JP" w:eastAsia="Noto Serif CJK JP"/>
          <w:b/>
        </w:rPr>
        <w:t>第7条（査定）</w:t>
      </w:r>
    </w:p>
    <w:p>
      <w:pPr>
        <w:ind w:left="0" w:firstLine="0"/>
      </w:pPr>
      <w:r>
        <w:rPr>
          <w:rFonts w:ascii="Noto Serif CJK JP" w:hAnsi="Noto Serif CJK JP" w:eastAsia="Noto Serif CJK JP"/>
          <w:b w:val="0"/>
        </w:rPr>
        <w:t>1　買取業者は、本件物品の種類、状態、真正性、市場相場、需要、付属品の有無、再販売可能性その他合理的な要素を考慮して査定を行い、買取価格を提示する。</w:t>
      </w:r>
    </w:p>
    <w:p>
      <w:pPr>
        <w:ind w:left="0" w:firstLine="0"/>
      </w:pPr>
      <w:r>
        <w:rPr>
          <w:rFonts w:ascii="Noto Serif CJK JP" w:hAnsi="Noto Serif CJK JP" w:eastAsia="Noto Serif CJK JP"/>
          <w:b w:val="0"/>
        </w:rPr>
        <w:t>2　売主は提示価格に同意する義務を負わず、同意しない場合は売買契約を締結しないことができる。</w:t>
      </w:r>
    </w:p>
    <w:p>
      <w:pPr>
        <w:ind w:left="0" w:firstLine="0"/>
      </w:pPr>
      <w:r>
        <w:rPr>
          <w:rFonts w:ascii="Noto Serif CJK JP" w:hAnsi="Noto Serif CJK JP" w:eastAsia="Noto Serif CJK JP"/>
          <w:b w:val="0"/>
        </w:rPr>
        <w:t>3　買取業者は、査定価格が将来の市場価格又は第三者による査定価格と一致することを保証するものではない。ただし、不実の告知その他法令に反する説明を行ってはならない。</w:t>
      </w:r>
    </w:p>
    <w:p>
      <w:pPr>
        <w:pStyle w:val="ClauseHeading"/>
      </w:pPr>
      <w:r>
        <w:rPr>
          <w:rFonts w:ascii="Noto Serif CJK JP" w:hAnsi="Noto Serif CJK JP" w:eastAsia="Noto Serif CJK JP"/>
          <w:b/>
        </w:rPr>
        <w:t>第8条（買取価格および契約の成立）</w:t>
      </w:r>
    </w:p>
    <w:p>
      <w:pPr>
        <w:ind w:left="0" w:firstLine="0"/>
      </w:pPr>
      <w:r>
        <w:rPr>
          <w:rFonts w:ascii="Noto Serif CJK JP" w:hAnsi="Noto Serif CJK JP" w:eastAsia="Noto Serif CJK JP"/>
          <w:b w:val="0"/>
        </w:rPr>
        <w:t>1　買取価格は、別紙「査定・買取明細書」に記載する金額とする。</w:t>
      </w:r>
    </w:p>
    <w:p>
      <w:pPr>
        <w:ind w:left="0" w:firstLine="0"/>
      </w:pPr>
      <w:r>
        <w:rPr>
          <w:rFonts w:ascii="Noto Serif CJK JP" w:hAnsi="Noto Serif CJK JP" w:eastAsia="Noto Serif CJK JP"/>
          <w:b w:val="0"/>
        </w:rPr>
        <w:t>2　売主が買取価格および本契約の内容に同意し、当事者が署名、記名押印又は適法な電子署名その他の方法により契約締結の意思を表示した時に、本契約が成立する。</w:t>
      </w:r>
    </w:p>
    <w:p>
      <w:pPr>
        <w:ind w:left="0" w:firstLine="0"/>
      </w:pPr>
      <w:r>
        <w:rPr>
          <w:rFonts w:ascii="Noto Serif CJK JP" w:hAnsi="Noto Serif CJK JP" w:eastAsia="Noto Serif CJK JP"/>
          <w:b w:val="0"/>
        </w:rPr>
        <w:t>3　口頭の査定価格提示のみでは、本契約は成立しない。</w:t>
      </w:r>
    </w:p>
    <w:p>
      <w:pPr>
        <w:pStyle w:val="ClauseHeading"/>
      </w:pPr>
      <w:r>
        <w:rPr>
          <w:rFonts w:ascii="Noto Serif CJK JP" w:hAnsi="Noto Serif CJK JP" w:eastAsia="Noto Serif CJK JP"/>
          <w:b/>
        </w:rPr>
        <w:t>第9条（法定書面等の交付）</w:t>
      </w:r>
    </w:p>
    <w:p>
      <w:pPr>
        <w:ind w:left="0" w:firstLine="0"/>
      </w:pPr>
      <w:r>
        <w:rPr>
          <w:rFonts w:ascii="Noto Serif CJK JP" w:hAnsi="Noto Serif CJK JP" w:eastAsia="Noto Serif CJK JP"/>
          <w:b w:val="0"/>
        </w:rPr>
        <w:t>1　買取業者は、特定商取引法その他の法令により申込書面又は契約書面の交付が必要となる場合、法令所定の事項を記載した書面を売主に交付する。</w:t>
      </w:r>
    </w:p>
    <w:p>
      <w:pPr>
        <w:ind w:left="0" w:firstLine="0"/>
      </w:pPr>
      <w:r>
        <w:rPr>
          <w:rFonts w:ascii="Noto Serif CJK JP" w:hAnsi="Noto Serif CJK JP" w:eastAsia="Noto Serif CJK JP"/>
          <w:b w:val="0"/>
        </w:rPr>
        <w:t>2　法令上認められる電磁的方法により法定書面の記載事項を提供する場合、買取業者は、事前の説明、売主の承諾その他法令所定の要件を満たすものとする。</w:t>
      </w:r>
    </w:p>
    <w:p>
      <w:pPr>
        <w:ind w:left="0" w:firstLine="0"/>
      </w:pPr>
      <w:r>
        <w:rPr>
          <w:rFonts w:ascii="Noto Serif CJK JP" w:hAnsi="Noto Serif CJK JP" w:eastAsia="Noto Serif CJK JP"/>
          <w:b w:val="0"/>
        </w:rPr>
        <w:t>3　本契約書が法定書面を兼ねる場合、買取業者は、法令所定の表示方法、文字の大きさ、赤枠・赤字による注意表示その他必要な形式要件を満たすよう使用する。</w:t>
      </w:r>
    </w:p>
    <w:p>
      <w:pPr>
        <w:pStyle w:val="ClauseHeading"/>
      </w:pPr>
      <w:r>
        <w:rPr>
          <w:rFonts w:ascii="Noto Serif CJK JP" w:hAnsi="Noto Serif CJK JP" w:eastAsia="Noto Serif CJK JP"/>
          <w:b/>
        </w:rPr>
        <w:t>第10条（買取代金の支払）</w:t>
      </w:r>
    </w:p>
    <w:p>
      <w:pPr>
        <w:ind w:left="0" w:firstLine="0"/>
      </w:pPr>
      <w:r>
        <w:rPr>
          <w:rFonts w:ascii="Noto Serif CJK JP" w:hAnsi="Noto Serif CJK JP" w:eastAsia="Noto Serif CJK JP"/>
          <w:b w:val="0"/>
        </w:rPr>
        <w:t>1　買取業者は、別紙又は契約情報欄に定める支払時期および方法により買取代金を支払う。</w:t>
      </w:r>
    </w:p>
    <w:p>
      <w:pPr>
        <w:ind w:left="0" w:firstLine="0"/>
      </w:pPr>
      <w:r>
        <w:rPr>
          <w:rFonts w:ascii="Noto Serif CJK JP" w:hAnsi="Noto Serif CJK JP" w:eastAsia="Noto Serif CJK JP"/>
          <w:b w:val="0"/>
        </w:rPr>
        <w:t>2　振込による場合の振込手数料は、別途明確に合意した場合を除き買取業者の負担とする。</w:t>
      </w:r>
    </w:p>
    <w:p>
      <w:pPr>
        <w:ind w:left="0" w:firstLine="0"/>
      </w:pPr>
      <w:r>
        <w:rPr>
          <w:rFonts w:ascii="Noto Serif CJK JP" w:hAnsi="Noto Serif CJK JP" w:eastAsia="Noto Serif CJK JP"/>
          <w:b w:val="0"/>
        </w:rPr>
        <w:t>3　法令上必要な本人確認その他の手続が完了しない場合、買取業者は、当該手続が完了するまで支払又は引取りを留保できる。</w:t>
      </w:r>
    </w:p>
    <w:p>
      <w:pPr>
        <w:pStyle w:val="ClauseHeading"/>
      </w:pPr>
      <w:r>
        <w:rPr>
          <w:rFonts w:ascii="Noto Serif CJK JP" w:hAnsi="Noto Serif CJK JP" w:eastAsia="Noto Serif CJK JP"/>
          <w:b/>
        </w:rPr>
        <w:t>第11条（本人確認および年齢等の確認）</w:t>
      </w:r>
    </w:p>
    <w:p>
      <w:pPr>
        <w:ind w:left="0" w:firstLine="0"/>
      </w:pPr>
      <w:r>
        <w:rPr>
          <w:rFonts w:ascii="Noto Serif CJK JP" w:hAnsi="Noto Serif CJK JP" w:eastAsia="Noto Serif CJK JP"/>
          <w:b w:val="0"/>
        </w:rPr>
        <w:t>1　買取業者は、古物営業法その他適用法令に従い、売主の住所、氏名、職業、年齢その他必要事項を確認し、法令上必要な記録を作成・保存する。</w:t>
      </w:r>
    </w:p>
    <w:p>
      <w:pPr>
        <w:ind w:left="0" w:firstLine="0"/>
      </w:pPr>
      <w:r>
        <w:rPr>
          <w:rFonts w:ascii="Noto Serif CJK JP" w:hAnsi="Noto Serif CJK JP" w:eastAsia="Noto Serif CJK JP"/>
          <w:b w:val="0"/>
        </w:rPr>
        <w:t>2　売主は、法令上適切な本人確認書類その他必要資料を提示又は提供する。本人確認ができない場合、買取業者は買取を行わないことができる。</w:t>
      </w:r>
    </w:p>
    <w:p>
      <w:pPr>
        <w:ind w:left="0" w:firstLine="0"/>
      </w:pPr>
      <w:r>
        <w:rPr>
          <w:rFonts w:ascii="Noto Serif CJK JP" w:hAnsi="Noto Serif CJK JP" w:eastAsia="Noto Serif CJK JP"/>
          <w:b w:val="0"/>
        </w:rPr>
        <w:t>3　マイナンバーカードを本人確認書類として利用する場合、買取業者は、法令上の根拠なく個人番号を取得・記録せず、個人番号が記載された面の提供を求めない。</w:t>
      </w:r>
    </w:p>
    <w:p>
      <w:pPr>
        <w:ind w:left="0" w:firstLine="0"/>
      </w:pPr>
      <w:r>
        <w:rPr>
          <w:rFonts w:ascii="Noto Serif CJK JP" w:hAnsi="Noto Serif CJK JP" w:eastAsia="Noto Serif CJK JP"/>
          <w:b w:val="0"/>
        </w:rPr>
        <w:t>4　売主が未成年者その他単独で有効な処分行為をすることに制限がある者である場合、買取業者は、法定代理人の同意その他法令上必要な確認を求め、確認できないときは買取を拒絶できる。</w:t>
      </w:r>
    </w:p>
    <w:p>
      <w:pPr>
        <w:pStyle w:val="ClauseHeading"/>
      </w:pPr>
      <w:r>
        <w:rPr>
          <w:rFonts w:ascii="Noto Serif CJK JP" w:hAnsi="Noto Serif CJK JP" w:eastAsia="Noto Serif CJK JP"/>
          <w:b/>
        </w:rPr>
        <w:t>第12条（所有権および処分権限の保証）</w:t>
      </w:r>
    </w:p>
    <w:p>
      <w:pPr>
        <w:ind w:left="0" w:firstLine="0"/>
      </w:pPr>
      <w:r>
        <w:rPr>
          <w:rFonts w:ascii="Noto Serif CJK JP" w:hAnsi="Noto Serif CJK JP" w:eastAsia="Noto Serif CJK JP"/>
          <w:b w:val="0"/>
        </w:rPr>
        <w:t>1　売主は、本件物品について自己が所有権又は適法な処分権限を有し、第三者の所有権、質権、譲渡担保、差押えその他の権利又は処分制限が存在しないことを表明する。</w:t>
      </w:r>
    </w:p>
    <w:p>
      <w:pPr>
        <w:ind w:left="0" w:firstLine="0"/>
      </w:pPr>
      <w:r>
        <w:rPr>
          <w:rFonts w:ascii="Noto Serif CJK JP" w:hAnsi="Noto Serif CJK JP" w:eastAsia="Noto Serif CJK JP"/>
          <w:b w:val="0"/>
        </w:rPr>
        <w:t>2　売主が代理人として処分する場合、売主は、適法な代理権限を有することを証する資料を提出する。</w:t>
      </w:r>
    </w:p>
    <w:p>
      <w:pPr>
        <w:ind w:left="0" w:firstLine="0"/>
      </w:pPr>
      <w:r>
        <w:rPr>
          <w:rFonts w:ascii="Noto Serif CJK JP" w:hAnsi="Noto Serif CJK JP" w:eastAsia="Noto Serif CJK JP"/>
          <w:b w:val="0"/>
        </w:rPr>
        <w:t>3　相続財産、共有物、法人所有物その他権利関係の確認を要する物品について、買取業者は必要資料の提出を求めることができる。</w:t>
      </w:r>
    </w:p>
    <w:p>
      <w:pPr>
        <w:pStyle w:val="ClauseHeading"/>
      </w:pPr>
      <w:r>
        <w:rPr>
          <w:rFonts w:ascii="Noto Serif CJK JP" w:hAnsi="Noto Serif CJK JP" w:eastAsia="Noto Serif CJK JP"/>
          <w:b/>
        </w:rPr>
        <w:t>第13条（物品の状態等に関する申告）</w:t>
      </w:r>
    </w:p>
    <w:p>
      <w:pPr>
        <w:ind w:left="0" w:firstLine="0"/>
      </w:pPr>
      <w:r>
        <w:rPr>
          <w:rFonts w:ascii="Noto Serif CJK JP" w:hAnsi="Noto Serif CJK JP" w:eastAsia="Noto Serif CJK JP"/>
          <w:b w:val="0"/>
        </w:rPr>
        <w:t>1　売主は、本件物品について、真正性、故障、破損、修理歴、改造歴、欠品、シリアル番号の改変、重大な不具合その他査定価格に重要な影響を及ぼす事実を知っている場合、合理的な範囲で買取業者に申告する。</w:t>
      </w:r>
    </w:p>
    <w:p>
      <w:pPr>
        <w:ind w:left="0" w:firstLine="0"/>
      </w:pPr>
      <w:r>
        <w:rPr>
          <w:rFonts w:ascii="Noto Serif CJK JP" w:hAnsi="Noto Serif CJK JP" w:eastAsia="Noto Serif CJK JP"/>
          <w:b w:val="0"/>
        </w:rPr>
        <w:t>2　売主が故意又は重大な過失により重要事実を秘匿し、その結果として契約の前提が失われた場合、買取業者は、民法その他法令に従い、契約の取消し、解除、代金返還その他必要な請求を行うことができる。</w:t>
      </w:r>
    </w:p>
    <w:p>
      <w:pPr>
        <w:ind w:left="0" w:firstLine="0"/>
      </w:pPr>
      <w:r>
        <w:rPr>
          <w:rFonts w:ascii="Noto Serif CJK JP" w:hAnsi="Noto Serif CJK JP" w:eastAsia="Noto Serif CJK JP"/>
          <w:b w:val="0"/>
        </w:rPr>
        <w:t>3　前項は、売主に法令上認められる抗弁その他の権利を制限するものではない。</w:t>
      </w:r>
    </w:p>
    <w:p>
      <w:pPr>
        <w:pStyle w:val="ClauseHeading"/>
      </w:pPr>
      <w:r>
        <w:rPr>
          <w:rFonts w:ascii="Noto Serif CJK JP" w:hAnsi="Noto Serif CJK JP" w:eastAsia="Noto Serif CJK JP"/>
          <w:b/>
        </w:rPr>
        <w:t>第14条（物品の引渡し）</w:t>
      </w:r>
    </w:p>
    <w:p>
      <w:pPr>
        <w:ind w:left="0" w:firstLine="0"/>
      </w:pPr>
      <w:r>
        <w:rPr>
          <w:rFonts w:ascii="Noto Serif CJK JP" w:hAnsi="Noto Serif CJK JP" w:eastAsia="Noto Serif CJK JP"/>
          <w:b w:val="0"/>
        </w:rPr>
        <w:t>1　本件物品の引渡時期および方法は、契約情報欄又は別紙に記載する。</w:t>
      </w:r>
    </w:p>
    <w:p>
      <w:pPr>
        <w:ind w:left="0" w:firstLine="0"/>
      </w:pPr>
      <w:r>
        <w:rPr>
          <w:rFonts w:ascii="Noto Serif CJK JP" w:hAnsi="Noto Serif CJK JP" w:eastAsia="Noto Serif CJK JP"/>
          <w:b w:val="0"/>
        </w:rPr>
        <w:t>2　法定クーリング・オフの対象となる場合、売主は第18条に定める期間中の引渡し拒絶権を有する。</w:t>
      </w:r>
    </w:p>
    <w:p>
      <w:pPr>
        <w:ind w:left="0" w:firstLine="0"/>
      </w:pPr>
      <w:r>
        <w:rPr>
          <w:rFonts w:ascii="Noto Serif CJK JP" w:hAnsi="Noto Serif CJK JP" w:eastAsia="Noto Serif CJK JP"/>
          <w:b w:val="0"/>
        </w:rPr>
        <w:t>3　売主がクーリング・オフ期間内に自らの意思で本件物品を引き渡す場合であっても、買取業者は、引渡しを受ける時点で、法令に従い引渡しを拒むことができる旨を告知する。</w:t>
      </w:r>
    </w:p>
    <w:p>
      <w:pPr>
        <w:pStyle w:val="ClauseHeading"/>
      </w:pPr>
      <w:r>
        <w:rPr>
          <w:rFonts w:ascii="Noto Serif CJK JP" w:hAnsi="Noto Serif CJK JP" w:eastAsia="Noto Serif CJK JP"/>
          <w:b/>
        </w:rPr>
        <w:t>第15条（所有権移転および危険負担）</w:t>
      </w:r>
    </w:p>
    <w:p>
      <w:pPr>
        <w:ind w:left="0" w:firstLine="0"/>
      </w:pPr>
      <w:r>
        <w:rPr>
          <w:rFonts w:ascii="Noto Serif CJK JP" w:hAnsi="Noto Serif CJK JP" w:eastAsia="Noto Serif CJK JP"/>
          <w:b w:val="0"/>
        </w:rPr>
        <w:t>1　本件物品の所有権は、買取代金の支払および本件物品の引渡しの双方が完了した時点で買取業者に移転する。ただし、クーリング・オフその他法令又は本契約に基づく解除等が行われた場合は、その効力に従う。</w:t>
      </w:r>
    </w:p>
    <w:p>
      <w:pPr>
        <w:ind w:left="0" w:firstLine="0"/>
      </w:pPr>
      <w:r>
        <w:rPr>
          <w:rFonts w:ascii="Noto Serif CJK JP" w:hAnsi="Noto Serif CJK JP" w:eastAsia="Noto Serif CJK JP"/>
          <w:b w:val="0"/>
        </w:rPr>
        <w:t>2　本件物品の滅失・毀損の危険は、引渡し前は売主が、引渡し後は買取業者が負担する。ただし、各当事者の責めに帰すべき事由がある場合はこの限りでない。</w:t>
      </w:r>
    </w:p>
    <w:p>
      <w:pPr>
        <w:pStyle w:val="ClauseHeading"/>
      </w:pPr>
      <w:r>
        <w:rPr>
          <w:rFonts w:ascii="Noto Serif CJK JP" w:hAnsi="Noto Serif CJK JP" w:eastAsia="Noto Serif CJK JP"/>
          <w:b/>
        </w:rPr>
        <w:t>第16条（クーリング・オフ）</w:t>
      </w:r>
    </w:p>
    <w:p>
      <w:pPr>
        <w:ind w:left="0" w:firstLine="0"/>
      </w:pPr>
      <w:r>
        <w:rPr>
          <w:rFonts w:ascii="Noto Serif CJK JP" w:hAnsi="Noto Serif CJK JP" w:eastAsia="Noto Serif CJK JP"/>
          <w:b w:val="0"/>
        </w:rPr>
        <w:t>1　本件取引が特定商取引法上の訪問購入に該当し、法令上の適用除外に該当しない場合、売主は、法令所定の書面を受領した日から起算して8日を経過するまで、書面又は電磁的記録により、本契約の申込みの撤回又は解除を行うことができる。</w:t>
      </w:r>
    </w:p>
    <w:p>
      <w:pPr>
        <w:ind w:left="0" w:firstLine="0"/>
      </w:pPr>
      <w:r>
        <w:rPr>
          <w:rFonts w:ascii="Noto Serif CJK JP" w:hAnsi="Noto Serif CJK JP" w:eastAsia="Noto Serif CJK JP"/>
          <w:b w:val="0"/>
        </w:rPr>
        <w:t>2　前項の通知は、売主が当該書面又は電磁的記録による通知を発した時に効力を生ずる。</w:t>
      </w:r>
    </w:p>
    <w:p>
      <w:pPr>
        <w:ind w:left="0" w:firstLine="0"/>
      </w:pPr>
      <w:r>
        <w:rPr>
          <w:rFonts w:ascii="Noto Serif CJK JP" w:hAnsi="Noto Serif CJK JP" w:eastAsia="Noto Serif CJK JP"/>
          <w:b w:val="0"/>
        </w:rPr>
        <w:t>3　買取業者がクーリング・オフに関する事項について不実のことを告げ、又は売主を威迫して困惑させたことにより、売主が期間内にクーリング・オフを行わなかった場合は、法令に定めるところにより、期間経過後もクーリング・オフを行うことができる場合がある。</w:t>
      </w:r>
    </w:p>
    <w:p>
      <w:pPr>
        <w:ind w:left="0" w:firstLine="0"/>
      </w:pPr>
      <w:r>
        <w:rPr>
          <w:rFonts w:ascii="Noto Serif CJK JP" w:hAnsi="Noto Serif CJK JP" w:eastAsia="Noto Serif CJK JP"/>
          <w:b w:val="0"/>
        </w:rPr>
        <w:t>4　本条その他法令に基づくクーリング・オフの権利を売主に不利に制限する特約は、その限度で無効とする。</w:t>
      </w:r>
    </w:p>
    <w:p>
      <w:pPr>
        <w:pStyle w:val="ClauseHeading"/>
      </w:pPr>
      <w:r>
        <w:rPr>
          <w:rFonts w:ascii="Noto Serif CJK JP" w:hAnsi="Noto Serif CJK JP" w:eastAsia="Noto Serif CJK JP"/>
          <w:b/>
        </w:rPr>
        <w:t>第17条（クーリング・オフの効果）</w:t>
      </w:r>
    </w:p>
    <w:p>
      <w:pPr>
        <w:ind w:left="0" w:firstLine="0"/>
      </w:pPr>
      <w:r>
        <w:rPr>
          <w:rFonts w:ascii="Noto Serif CJK JP" w:hAnsi="Noto Serif CJK JP" w:eastAsia="Noto Serif CJK JP"/>
          <w:b w:val="0"/>
        </w:rPr>
        <w:t>1　クーリング・オフが行われた場合、買取業者は、クーリング・オフに伴う損害賠償、違約金、キャンセル料、査定料、出張費その他名目のいかんを問わず、法令上請求できない金銭を売主に請求しない。</w:t>
      </w:r>
    </w:p>
    <w:p>
      <w:pPr>
        <w:ind w:left="0" w:firstLine="0"/>
      </w:pPr>
      <w:r>
        <w:rPr>
          <w:rFonts w:ascii="Noto Serif CJK JP" w:hAnsi="Noto Serif CJK JP" w:eastAsia="Noto Serif CJK JP"/>
          <w:b w:val="0"/>
        </w:rPr>
        <w:t>2　売主が既に買取代金を受領している場合、売主は当該代金を返還するものとするが、その返還に要する振込手数料その他の費用および法令上売主が負担しないものとされる利息等は、買取業者の負担とする。</w:t>
      </w:r>
    </w:p>
    <w:p>
      <w:pPr>
        <w:ind w:left="0" w:firstLine="0"/>
      </w:pPr>
      <w:r>
        <w:rPr>
          <w:rFonts w:ascii="Noto Serif CJK JP" w:hAnsi="Noto Serif CJK JP" w:eastAsia="Noto Serif CJK JP"/>
          <w:b w:val="0"/>
        </w:rPr>
        <w:t>3　買取業者が既に本件物品の引渡しを受けている場合、買取業者は自己の費用と責任で本件物品を売主に返還する。</w:t>
      </w:r>
    </w:p>
    <w:p>
      <w:pPr>
        <w:ind w:left="0" w:firstLine="0"/>
      </w:pPr>
      <w:r>
        <w:rPr>
          <w:rFonts w:ascii="Noto Serif CJK JP" w:hAnsi="Noto Serif CJK JP" w:eastAsia="Noto Serif CJK JP"/>
          <w:b w:val="0"/>
        </w:rPr>
        <w:t>4　法令によりクーリング・オフの効果が第三者に及ぶ場合、その取扱いは法令に従う。</w:t>
      </w:r>
    </w:p>
    <w:p>
      <w:pPr>
        <w:pStyle w:val="ClauseHeading"/>
      </w:pPr>
      <w:r>
        <w:rPr>
          <w:rFonts w:ascii="Noto Serif CJK JP" w:hAnsi="Noto Serif CJK JP" w:eastAsia="Noto Serif CJK JP"/>
          <w:b/>
        </w:rPr>
        <w:t>第18条（クーリング・オフ期間中の物品引渡し拒絶）</w:t>
      </w:r>
    </w:p>
    <w:p>
      <w:pPr>
        <w:ind w:left="0" w:firstLine="0"/>
      </w:pPr>
      <w:r>
        <w:rPr>
          <w:rFonts w:ascii="Noto Serif CJK JP" w:hAnsi="Noto Serif CJK JP" w:eastAsia="Noto Serif CJK JP"/>
          <w:b w:val="0"/>
        </w:rPr>
        <w:t>1　売主は、法定クーリング・オフが可能な期間中は、引渡しの期日が定められている場合であっても、債務不履行となることなく、買取業者又はその承継人に対して本件物品の引渡しを拒むことができる。</w:t>
      </w:r>
    </w:p>
    <w:p>
      <w:pPr>
        <w:ind w:left="0" w:firstLine="0"/>
      </w:pPr>
      <w:r>
        <w:rPr>
          <w:rFonts w:ascii="Noto Serif CJK JP" w:hAnsi="Noto Serif CJK JP" w:eastAsia="Noto Serif CJK JP"/>
          <w:b w:val="0"/>
        </w:rPr>
        <w:t>2　買取業者は、クーリング・オフ期間内に売主から直接本件物品の引渡しを受ける場合、売主に対し、法令に従い、当該期間中は引渡しを拒むことができる旨を告げる。</w:t>
      </w:r>
    </w:p>
    <w:p>
      <w:pPr>
        <w:ind w:left="0" w:firstLine="0"/>
      </w:pPr>
      <w:r>
        <w:rPr>
          <w:rFonts w:ascii="Noto Serif CJK JP" w:hAnsi="Noto Serif CJK JP" w:eastAsia="Noto Serif CJK JP"/>
          <w:b w:val="0"/>
        </w:rPr>
        <w:t>3　売主が前項の説明を受けた上で自らの意思により引き渡すことを選択した場合であっても、クーリング・オフの権利は失われない。</w:t>
      </w:r>
    </w:p>
    <w:p>
      <w:pPr>
        <w:pStyle w:val="ClauseHeading"/>
      </w:pPr>
      <w:r>
        <w:rPr>
          <w:rFonts w:ascii="Noto Serif CJK JP" w:hAnsi="Noto Serif CJK JP" w:eastAsia="Noto Serif CJK JP"/>
          <w:b/>
        </w:rPr>
        <w:t>第19条（クーリング・オフ期間中の保管および処分）</w:t>
      </w:r>
    </w:p>
    <w:p>
      <w:pPr>
        <w:ind w:left="0" w:firstLine="0"/>
      </w:pPr>
      <w:r>
        <w:rPr>
          <w:rFonts w:ascii="Noto Serif CJK JP" w:hAnsi="Noto Serif CJK JP" w:eastAsia="Noto Serif CJK JP"/>
          <w:b w:val="0"/>
        </w:rPr>
        <w:t>1　買取業者がクーリング・オフ期間内に本件物品の引渡しを受けた場合、買取業者は、法令に従い善良な管理者の注意をもって本件物品を管理する。</w:t>
      </w:r>
    </w:p>
    <w:p>
      <w:pPr>
        <w:ind w:left="0" w:firstLine="0"/>
      </w:pPr>
      <w:r>
        <w:rPr>
          <w:rFonts w:ascii="Noto Serif CJK JP" w:hAnsi="Noto Serif CJK JP" w:eastAsia="Noto Serif CJK JP"/>
          <w:b w:val="0"/>
        </w:rPr>
        <w:t>2　買取業者は、クーリング・オフの実効性を確保するため、合理的な理由がない限り、当該期間中に本件物品を加工、溶解、分解、廃棄その他原状回復を困難にする処分を行わないよう努める。</w:t>
      </w:r>
    </w:p>
    <w:p>
      <w:pPr>
        <w:ind w:left="0" w:firstLine="0"/>
      </w:pPr>
      <w:r>
        <w:rPr>
          <w:rFonts w:ascii="Noto Serif CJK JP" w:hAnsi="Noto Serif CJK JP" w:eastAsia="Noto Serif CJK JP"/>
          <w:b w:val="0"/>
        </w:rPr>
        <w:t>3　買取業者が当該期間中に第三者へ本件物品を引き渡す場合、第20条および法令所定の通知義務を履行する。</w:t>
      </w:r>
    </w:p>
    <w:p>
      <w:pPr>
        <w:pStyle w:val="ClauseHeading"/>
      </w:pPr>
      <w:r>
        <w:rPr>
          <w:rFonts w:ascii="Noto Serif CJK JP" w:hAnsi="Noto Serif CJK JP" w:eastAsia="Noto Serif CJK JP"/>
          <w:b/>
        </w:rPr>
        <w:t>第20条（第三者への引渡しに関する通知）</w:t>
      </w:r>
    </w:p>
    <w:p>
      <w:pPr>
        <w:ind w:left="0" w:firstLine="0"/>
      </w:pPr>
      <w:r>
        <w:rPr>
          <w:rFonts w:ascii="Noto Serif CJK JP" w:hAnsi="Noto Serif CJK JP" w:eastAsia="Noto Serif CJK JP"/>
          <w:b w:val="0"/>
        </w:rPr>
        <w:t>1　買取業者が売主から本件物品の引渡しを受けた後、クーリング・オフ期間内に第三者へ本件物品を引き渡した場合、買取業者は、法令に従い、第三者の氏名又は名称、住所、電話番号、引渡年月日、本件物品の種類・品名・特徴その他所定事項を遅滞なく売主に通知する。</w:t>
      </w:r>
    </w:p>
    <w:p>
      <w:pPr>
        <w:ind w:left="0" w:firstLine="0"/>
      </w:pPr>
      <w:r>
        <w:rPr>
          <w:rFonts w:ascii="Noto Serif CJK JP" w:hAnsi="Noto Serif CJK JP" w:eastAsia="Noto Serif CJK JP"/>
          <w:b w:val="0"/>
        </w:rPr>
        <w:t>2　買取業者は、クーリング・オフ期間内に第三者へ本件物品を引き渡す場合、当該第三者に対しても、当該物品が訪問購入により取得した物品であること、売主がクーリング・オフを行うことができることその他法令所定事項を所定の方法で通知する。</w:t>
      </w:r>
    </w:p>
    <w:p>
      <w:pPr>
        <w:pStyle w:val="ClauseHeading"/>
      </w:pPr>
      <w:r>
        <w:rPr>
          <w:rFonts w:ascii="Noto Serif CJK JP" w:hAnsi="Noto Serif CJK JP" w:eastAsia="Noto Serif CJK JP"/>
          <w:b/>
        </w:rPr>
        <w:t>第21条（クーリング・オフ期間経過後の解除等）</w:t>
      </w:r>
    </w:p>
    <w:p>
      <w:pPr>
        <w:ind w:left="0" w:firstLine="0"/>
      </w:pPr>
      <w:r>
        <w:rPr>
          <w:rFonts w:ascii="Noto Serif CJK JP" w:hAnsi="Noto Serif CJK JP" w:eastAsia="Noto Serif CJK JP"/>
          <w:b w:val="0"/>
        </w:rPr>
        <w:t>1　クーリング・オフ期間経過後に売主の債務不履行その他の理由により契約を解除する場合の損害賠償、違約金その他の請求は、特定商取引法第58条の16、消費者契約法その他の適用法令に定める上限および要件に従う。</w:t>
      </w:r>
    </w:p>
    <w:p>
      <w:pPr>
        <w:ind w:left="0" w:firstLine="0"/>
      </w:pPr>
      <w:r>
        <w:rPr>
          <w:rFonts w:ascii="Noto Serif CJK JP" w:hAnsi="Noto Serif CJK JP" w:eastAsia="Noto Serif CJK JP"/>
          <w:b w:val="0"/>
        </w:rPr>
        <w:t>2　買取業者は、法令上認められる額を超えるキャンセル料、違約金又は損害賠償を請求しない。</w:t>
      </w:r>
    </w:p>
    <w:p>
      <w:pPr>
        <w:pStyle w:val="ClauseHeading"/>
      </w:pPr>
      <w:r>
        <w:rPr>
          <w:rFonts w:ascii="Noto Serif CJK JP" w:hAnsi="Noto Serif CJK JP" w:eastAsia="Noto Serif CJK JP"/>
          <w:b/>
        </w:rPr>
        <w:t>第22条（出張費、査定料その他の費用）</w:t>
      </w:r>
    </w:p>
    <w:p>
      <w:pPr>
        <w:ind w:left="0" w:firstLine="0"/>
      </w:pPr>
      <w:r>
        <w:rPr>
          <w:rFonts w:ascii="Noto Serif CJK JP" w:hAnsi="Noto Serif CJK JP" w:eastAsia="Noto Serif CJK JP"/>
          <w:b w:val="0"/>
        </w:rPr>
        <w:t>1　出張費および査定料は、事前に明確に合意した場合を除き無料とする。</w:t>
      </w:r>
    </w:p>
    <w:p>
      <w:pPr>
        <w:ind w:left="0" w:firstLine="0"/>
      </w:pPr>
      <w:r>
        <w:rPr>
          <w:rFonts w:ascii="Noto Serif CJK JP" w:hAnsi="Noto Serif CJK JP" w:eastAsia="Noto Serif CJK JP"/>
          <w:b w:val="0"/>
        </w:rPr>
        <w:t>2　交通費、運搬費、特殊作業費その他の費用を売主が負担する場合、買取業者は、その内容および金額又は算定方法を契約締結前に明示し、売主の同意を得る。</w:t>
      </w:r>
    </w:p>
    <w:p>
      <w:pPr>
        <w:ind w:left="0" w:firstLine="0"/>
      </w:pPr>
      <w:r>
        <w:rPr>
          <w:rFonts w:ascii="Noto Serif CJK JP" w:hAnsi="Noto Serif CJK JP" w:eastAsia="Noto Serif CJK JP"/>
          <w:b w:val="0"/>
        </w:rPr>
        <w:t>3　クーリング・オフの行使のみを理由として、前二項の費用その他の金銭を請求してはならない。</w:t>
      </w:r>
    </w:p>
    <w:p>
      <w:pPr>
        <w:pStyle w:val="ClauseHeading"/>
      </w:pPr>
      <w:r>
        <w:rPr>
          <w:rFonts w:ascii="Noto Serif CJK JP" w:hAnsi="Noto Serif CJK JP" w:eastAsia="Noto Serif CJK JP"/>
          <w:b/>
        </w:rPr>
        <w:t>第23条（盗品、遺失物、偽造品その他不正物品）</w:t>
      </w:r>
    </w:p>
    <w:p>
      <w:pPr>
        <w:ind w:left="0" w:firstLine="0"/>
      </w:pPr>
      <w:r>
        <w:rPr>
          <w:rFonts w:ascii="Noto Serif CJK JP" w:hAnsi="Noto Serif CJK JP" w:eastAsia="Noto Serif CJK JP"/>
          <w:b w:val="0"/>
        </w:rPr>
        <w:t>1　本件物品が盗品、遺失物、詐取品、横領品、偽造品、模倣品その他違法又は不正に取得・流通した物品である疑いが生じた場合、買取業者は、法令に従い取引を中止し、所轄警察署その他関係機関に照会・申告し、又は本件物品を保全することができる。</w:t>
      </w:r>
    </w:p>
    <w:p>
      <w:pPr>
        <w:ind w:left="0" w:firstLine="0"/>
      </w:pPr>
      <w:r>
        <w:rPr>
          <w:rFonts w:ascii="Noto Serif CJK JP" w:hAnsi="Noto Serif CJK JP" w:eastAsia="Noto Serif CJK JP"/>
          <w:b w:val="0"/>
        </w:rPr>
        <w:t>2　本件物品が前項に該当することが確定し、売主に故意又は過失がある場合、買取業者は、法令に従い、支払済代金の返還その他の損害賠償を請求できる。</w:t>
      </w:r>
    </w:p>
    <w:p>
      <w:pPr>
        <w:ind w:left="0" w:firstLine="0"/>
      </w:pPr>
      <w:r>
        <w:rPr>
          <w:rFonts w:ascii="Noto Serif CJK JP" w:hAnsi="Noto Serif CJK JP" w:eastAsia="Noto Serif CJK JP"/>
          <w:b w:val="0"/>
        </w:rPr>
        <w:t>3　売主に責任がない場合の取扱いは、民法、古物営業法その他の法令に従う。</w:t>
      </w:r>
    </w:p>
    <w:p>
      <w:pPr>
        <w:pStyle w:val="ClauseHeading"/>
      </w:pPr>
      <w:r>
        <w:rPr>
          <w:rFonts w:ascii="Noto Serif CJK JP" w:hAnsi="Noto Serif CJK JP" w:eastAsia="Noto Serif CJK JP"/>
          <w:b/>
        </w:rPr>
        <w:t>第24条（宝石・貴金属等に関する追加確認）</w:t>
      </w:r>
    </w:p>
    <w:p>
      <w:pPr>
        <w:ind w:left="0" w:firstLine="0"/>
      </w:pPr>
      <w:r>
        <w:rPr>
          <w:rFonts w:ascii="Noto Serif CJK JP" w:hAnsi="Noto Serif CJK JP" w:eastAsia="Noto Serif CJK JP"/>
          <w:b w:val="0"/>
        </w:rPr>
        <w:t>1　本件物品に宝石、貴金属、これらの製品その他犯罪による収益の移転防止に関する法律の対象となる物品が含まれ、同法上の取引時確認その他の義務が生じる場合、買取業者は、本人特定事項、取引目的、職業、資産・収入の状況その他法令所定の事項について追加確認を行うことができる。</w:t>
      </w:r>
    </w:p>
    <w:p>
      <w:pPr>
        <w:ind w:left="0" w:firstLine="0"/>
      </w:pPr>
      <w:r>
        <w:rPr>
          <w:rFonts w:ascii="Noto Serif CJK JP" w:hAnsi="Noto Serif CJK JP" w:eastAsia="Noto Serif CJK JP"/>
          <w:b w:val="0"/>
        </w:rPr>
        <w:t>2　売主が法令上必要な確認に応じない場合、買取業者は当該取引を行わないことができる。</w:t>
      </w:r>
    </w:p>
    <w:p>
      <w:pPr>
        <w:ind w:left="0" w:firstLine="0"/>
      </w:pPr>
      <w:r>
        <w:rPr>
          <w:rFonts w:ascii="Noto Serif CJK JP" w:hAnsi="Noto Serif CJK JP" w:eastAsia="Noto Serif CJK JP"/>
          <w:b w:val="0"/>
        </w:rPr>
        <w:t>3　買取業者は、法令上必要な取引記録の作成・保存および疑わしい取引の届出その他の義務を履行する。</w:t>
      </w:r>
    </w:p>
    <w:p>
      <w:pPr>
        <w:pStyle w:val="ClauseHeading"/>
      </w:pPr>
      <w:r>
        <w:rPr>
          <w:rFonts w:ascii="Noto Serif CJK JP" w:hAnsi="Noto Serif CJK JP" w:eastAsia="Noto Serif CJK JP"/>
          <w:b/>
        </w:rPr>
        <w:t>第25条（デジタル機器および保存データ）</w:t>
      </w:r>
    </w:p>
    <w:p>
      <w:pPr>
        <w:ind w:left="0" w:firstLine="0"/>
      </w:pPr>
      <w:r>
        <w:rPr>
          <w:rFonts w:ascii="Noto Serif CJK JP" w:hAnsi="Noto Serif CJK JP" w:eastAsia="Noto Serif CJK JP"/>
          <w:b w:val="0"/>
        </w:rPr>
        <w:t>1　スマートフォン、パソコン、記録媒体その他データを保存できる物品を売却する場合、売主は、必要なデータのバックアップを行い、アカウントのログアウト、端末ロックの解除、通信契約・各種アカウントとの紐付け解除その他必要な措置を行う。</w:t>
      </w:r>
    </w:p>
    <w:p>
      <w:pPr>
        <w:ind w:left="0" w:firstLine="0"/>
      </w:pPr>
      <w:r>
        <w:rPr>
          <w:rFonts w:ascii="Noto Serif CJK JP" w:hAnsi="Noto Serif CJK JP" w:eastAsia="Noto Serif CJK JP"/>
          <w:b w:val="0"/>
        </w:rPr>
        <w:t>2　買取業者は、買い取った機器に残存するデータについて、合理的な方法で初期化・消去その他の措置を講じることができる。</w:t>
      </w:r>
    </w:p>
    <w:p>
      <w:pPr>
        <w:ind w:left="0" w:firstLine="0"/>
      </w:pPr>
      <w:r>
        <w:rPr>
          <w:rFonts w:ascii="Noto Serif CJK JP" w:hAnsi="Noto Serif CJK JP" w:eastAsia="Noto Serif CJK JP"/>
          <w:b w:val="0"/>
        </w:rPr>
        <w:t>3　買取業者は、自己の故意又は過失による場合を除き、売主が事前にバックアップしなかったデータの消失について責任を負わない。ただし、消費者契約法その他の強行法規に反する免責は行わない。</w:t>
      </w:r>
    </w:p>
    <w:p>
      <w:pPr>
        <w:pStyle w:val="ClauseHeading"/>
      </w:pPr>
      <w:r>
        <w:rPr>
          <w:rFonts w:ascii="Noto Serif CJK JP" w:hAnsi="Noto Serif CJK JP" w:eastAsia="Noto Serif CJK JP"/>
          <w:b/>
        </w:rPr>
        <w:t>第26条（付属品および残置物）</w:t>
      </w:r>
    </w:p>
    <w:p>
      <w:pPr>
        <w:ind w:left="0" w:firstLine="0"/>
      </w:pPr>
      <w:r>
        <w:rPr>
          <w:rFonts w:ascii="Noto Serif CJK JP" w:hAnsi="Noto Serif CJK JP" w:eastAsia="Noto Serif CJK JP"/>
          <w:b w:val="0"/>
        </w:rPr>
        <w:t>1　売主は、本件物品の引渡し前に、現金、カード、書類、記録媒体、私物その他売却対象外の物が本件物品内又は付属品内に残っていないことを確認する。</w:t>
      </w:r>
    </w:p>
    <w:p>
      <w:pPr>
        <w:ind w:left="0" w:firstLine="0"/>
      </w:pPr>
      <w:r>
        <w:rPr>
          <w:rFonts w:ascii="Noto Serif CJK JP" w:hAnsi="Noto Serif CJK JP" w:eastAsia="Noto Serif CJK JP"/>
          <w:b w:val="0"/>
        </w:rPr>
        <w:t>2　買取業者が売却対象外と合理的に判断できる残置物を発見した場合、可能な範囲で売主に連絡し返還する。</w:t>
      </w:r>
    </w:p>
    <w:p>
      <w:pPr>
        <w:ind w:left="0" w:firstLine="0"/>
      </w:pPr>
      <w:r>
        <w:rPr>
          <w:rFonts w:ascii="Noto Serif CJK JP" w:hAnsi="Noto Serif CJK JP" w:eastAsia="Noto Serif CJK JP"/>
          <w:b w:val="0"/>
        </w:rPr>
        <w:t>3　残置物の取扱いについて法令上特別な定めがある場合、その定めに従う。</w:t>
      </w:r>
    </w:p>
    <w:p>
      <w:pPr>
        <w:pStyle w:val="ClauseHeading"/>
      </w:pPr>
      <w:r>
        <w:rPr>
          <w:rFonts w:ascii="Noto Serif CJK JP" w:hAnsi="Noto Serif CJK JP" w:eastAsia="Noto Serif CJK JP"/>
          <w:b/>
        </w:rPr>
        <w:t>第27条（個人情報の取扱い）</w:t>
      </w:r>
    </w:p>
    <w:p>
      <w:pPr>
        <w:ind w:left="0" w:firstLine="0"/>
      </w:pPr>
      <w:r>
        <w:rPr>
          <w:rFonts w:ascii="Noto Serif CJK JP" w:hAnsi="Noto Serif CJK JP" w:eastAsia="Noto Serif CJK JP"/>
          <w:b w:val="0"/>
        </w:rPr>
        <w:t>1　買取業者は、本人確認情報、契約情報、査定情報その他売主の個人情報を、本人確認、契約履行、代金支払、法令上の記録保存、不正取引防止、問い合わせ対応その他公表した利用目的の範囲内で取り扱う。</w:t>
      </w:r>
    </w:p>
    <w:p>
      <w:pPr>
        <w:ind w:left="0" w:firstLine="0"/>
      </w:pPr>
      <w:r>
        <w:rPr>
          <w:rFonts w:ascii="Noto Serif CJK JP" w:hAnsi="Noto Serif CJK JP" w:eastAsia="Noto Serif CJK JP"/>
          <w:b w:val="0"/>
        </w:rPr>
        <w:t>2　買取業者は、個人情報の保護に関する法律その他の法令に従い、必要かつ適切な安全管理措置を講じる。</w:t>
      </w:r>
    </w:p>
    <w:p>
      <w:pPr>
        <w:ind w:left="0" w:firstLine="0"/>
      </w:pPr>
      <w:r>
        <w:rPr>
          <w:rFonts w:ascii="Noto Serif CJK JP" w:hAnsi="Noto Serif CJK JP" w:eastAsia="Noto Serif CJK JP"/>
          <w:b w:val="0"/>
        </w:rPr>
        <w:t>3　法令に基づく場合、警察その他の公的機関から適法な照会を受けた場合その他法令上認められる場合を除き、売主の個人情報を本人の同意なく第三者に提供しない。</w:t>
      </w:r>
    </w:p>
    <w:p>
      <w:pPr>
        <w:pStyle w:val="ClauseHeading"/>
      </w:pPr>
      <w:r>
        <w:rPr>
          <w:rFonts w:ascii="Noto Serif CJK JP" w:hAnsi="Noto Serif CJK JP" w:eastAsia="Noto Serif CJK JP"/>
          <w:b/>
        </w:rPr>
        <w:t>第28条（外部鑑定および業務委託）</w:t>
      </w:r>
    </w:p>
    <w:p>
      <w:pPr>
        <w:ind w:left="0" w:firstLine="0"/>
      </w:pPr>
      <w:r>
        <w:rPr>
          <w:rFonts w:ascii="Noto Serif CJK JP" w:hAnsi="Noto Serif CJK JP" w:eastAsia="Noto Serif CJK JP"/>
          <w:b w:val="0"/>
        </w:rPr>
        <w:t>1　買取業者は、真正性・品質・相場の確認、運搬、保管、システム利用その他本件取引に必要な範囲で、専門鑑定機関、物流事業者、決済事業者その他の第三者へ業務の一部を委託できる。</w:t>
      </w:r>
    </w:p>
    <w:p>
      <w:pPr>
        <w:ind w:left="0" w:firstLine="0"/>
      </w:pPr>
      <w:r>
        <w:rPr>
          <w:rFonts w:ascii="Noto Serif CJK JP" w:hAnsi="Noto Serif CJK JP" w:eastAsia="Noto Serif CJK JP"/>
          <w:b w:val="0"/>
        </w:rPr>
        <w:t>2　個人情報又は本件物品を第三者に取り扱わせる場合、買取業者は、適用法令に従い必要な監督および安全管理を行う。</w:t>
      </w:r>
    </w:p>
    <w:p>
      <w:pPr>
        <w:pStyle w:val="ClauseHeading"/>
      </w:pPr>
      <w:r>
        <w:rPr>
          <w:rFonts w:ascii="Noto Serif CJK JP" w:hAnsi="Noto Serif CJK JP" w:eastAsia="Noto Serif CJK JP"/>
          <w:b/>
        </w:rPr>
        <w:t>第29条（損害賠償）</w:t>
      </w:r>
    </w:p>
    <w:p>
      <w:pPr>
        <w:ind w:left="0" w:firstLine="0"/>
      </w:pPr>
      <w:r>
        <w:rPr>
          <w:rFonts w:ascii="Noto Serif CJK JP" w:hAnsi="Noto Serif CJK JP" w:eastAsia="Noto Serif CJK JP"/>
          <w:b w:val="0"/>
        </w:rPr>
        <w:t>1　買取業者又は売主が、本契約に違反し、又は自己の故意若しくは過失により相手方に損害を与えた場合、民法その他の適用法令に従い、その責任を負う。</w:t>
      </w:r>
    </w:p>
    <w:p>
      <w:pPr>
        <w:ind w:left="0" w:firstLine="0"/>
      </w:pPr>
      <w:r>
        <w:rPr>
          <w:rFonts w:ascii="Noto Serif CJK JP" w:hAnsi="Noto Serif CJK JP" w:eastAsia="Noto Serif CJK JP"/>
          <w:b w:val="0"/>
        </w:rPr>
        <w:t>2　本条は、特定商取引法におけるクーリング・オフ時の損害賠償・違約金請求禁止、損害賠償等の額の制限、消費者契約法その他の強行法規に反する責任制限を定めるものではない。</w:t>
      </w:r>
    </w:p>
    <w:p>
      <w:pPr>
        <w:pStyle w:val="ClauseHeading"/>
      </w:pPr>
      <w:r>
        <w:rPr>
          <w:rFonts w:ascii="Noto Serif CJK JP" w:hAnsi="Noto Serif CJK JP" w:eastAsia="Noto Serif CJK JP"/>
          <w:b/>
        </w:rPr>
        <w:t>第30条（反社会的勢力の排除）</w:t>
      </w:r>
    </w:p>
    <w:p>
      <w:pPr>
        <w:ind w:left="0" w:firstLine="0"/>
      </w:pPr>
      <w:r>
        <w:rPr>
          <w:rFonts w:ascii="Noto Serif CJK JP" w:hAnsi="Noto Serif CJK JP" w:eastAsia="Noto Serif CJK JP"/>
          <w:b w:val="0"/>
        </w:rPr>
        <w:t>1　買取業者および売主は、自らが暴力団、暴力団員その他これらに準ずる反社会的勢力に該当せず、これらと社会的に非難されるべき関係を有しないことを表明する。</w:t>
      </w:r>
    </w:p>
    <w:p>
      <w:pPr>
        <w:ind w:left="0" w:firstLine="0"/>
      </w:pPr>
      <w:r>
        <w:rPr>
          <w:rFonts w:ascii="Noto Serif CJK JP" w:hAnsi="Noto Serif CJK JP" w:eastAsia="Noto Serif CJK JP"/>
          <w:b w:val="0"/>
        </w:rPr>
        <w:t>2　相手方が前項に違反し、取引の継続が相当でないと認められる場合、当事者は法令に従い本契約を解除できる。</w:t>
      </w:r>
    </w:p>
    <w:p>
      <w:pPr>
        <w:pStyle w:val="ClauseHeading"/>
      </w:pPr>
      <w:r>
        <w:rPr>
          <w:rFonts w:ascii="Noto Serif CJK JP" w:hAnsi="Noto Serif CJK JP" w:eastAsia="Noto Serif CJK JP"/>
          <w:b/>
        </w:rPr>
        <w:t>第31条（不可抗力）</w:t>
      </w:r>
    </w:p>
    <w:p>
      <w:pPr>
        <w:ind w:left="0" w:firstLine="0"/>
      </w:pPr>
      <w:r>
        <w:rPr>
          <w:rFonts w:ascii="Noto Serif CJK JP" w:hAnsi="Noto Serif CJK JP" w:eastAsia="Noto Serif CJK JP"/>
          <w:b w:val="0"/>
        </w:rPr>
        <w:t>1　地震、風水害、火災、交通遮断、感染症の流行、行政上の措置その他当事者の合理的な支配を超える事由により出張、査定、支払又は引渡しが遅延した場合、当事者は相互に協議して履行時期等を調整する。</w:t>
      </w:r>
    </w:p>
    <w:p>
      <w:pPr>
        <w:ind w:left="0" w:firstLine="0"/>
      </w:pPr>
      <w:r>
        <w:rPr>
          <w:rFonts w:ascii="Noto Serif CJK JP" w:hAnsi="Noto Serif CJK JP" w:eastAsia="Noto Serif CJK JP"/>
          <w:b w:val="0"/>
        </w:rPr>
        <w:t>2　本条は、法令上免除できない責任を免除するものではない。</w:t>
      </w:r>
    </w:p>
    <w:p>
      <w:pPr>
        <w:pStyle w:val="ClauseHeading"/>
      </w:pPr>
      <w:r>
        <w:rPr>
          <w:rFonts w:ascii="Noto Serif CJK JP" w:hAnsi="Noto Serif CJK JP" w:eastAsia="Noto Serif CJK JP"/>
          <w:b/>
        </w:rPr>
        <w:t>第32条（通知および電磁的方法）</w:t>
      </w:r>
    </w:p>
    <w:p>
      <w:pPr>
        <w:ind w:left="0" w:firstLine="0"/>
      </w:pPr>
      <w:r>
        <w:rPr>
          <w:rFonts w:ascii="Noto Serif CJK JP" w:hAnsi="Noto Serif CJK JP" w:eastAsia="Noto Serif CJK JP"/>
          <w:b w:val="0"/>
        </w:rPr>
        <w:t>1　本契約に関する通知は、書面、電子メール、電子契約サービスその他当事者が合意する方法により行うことができる。ただし、法令が特定の方式を要求する場合は、その方式に従う。</w:t>
      </w:r>
    </w:p>
    <w:p>
      <w:pPr>
        <w:ind w:left="0" w:firstLine="0"/>
      </w:pPr>
      <w:r>
        <w:rPr>
          <w:rFonts w:ascii="Noto Serif CJK JP" w:hAnsi="Noto Serif CJK JP" w:eastAsia="Noto Serif CJK JP"/>
          <w:b w:val="0"/>
        </w:rPr>
        <w:t>2　クーリング・オフその他法令上の権利行使については、売主が法令上認められる方法を自由に選択でき、本条はその方法を制限しない。</w:t>
      </w:r>
    </w:p>
    <w:p>
      <w:pPr>
        <w:pStyle w:val="ClauseHeading"/>
      </w:pPr>
      <w:r>
        <w:rPr>
          <w:rFonts w:ascii="Noto Serif CJK JP" w:hAnsi="Noto Serif CJK JP" w:eastAsia="Noto Serif CJK JP"/>
          <w:b/>
        </w:rPr>
        <w:t>第33条（強行法規および消費者の権利の優先）</w:t>
      </w:r>
    </w:p>
    <w:p>
      <w:pPr>
        <w:ind w:left="0" w:firstLine="0"/>
      </w:pPr>
      <w:r>
        <w:rPr>
          <w:rFonts w:ascii="Noto Serif CJK JP" w:hAnsi="Noto Serif CJK JP" w:eastAsia="Noto Serif CJK JP"/>
          <w:b w:val="0"/>
        </w:rPr>
        <w:t>1　本契約の定めと特定商取引法、消費者契約法その他の強行法規が抵触する場合、当該法令が優先する。</w:t>
      </w:r>
    </w:p>
    <w:p>
      <w:pPr>
        <w:ind w:left="0" w:firstLine="0"/>
      </w:pPr>
      <w:r>
        <w:rPr>
          <w:rFonts w:ascii="Noto Serif CJK JP" w:hAnsi="Noto Serif CJK JP" w:eastAsia="Noto Serif CJK JP"/>
          <w:b w:val="0"/>
        </w:rPr>
        <w:t>2　本契約のいかなる条項も、売主に法令上認められるクーリング・オフ、取消し、解除、損害賠償請求その他の権利を不当に制限するものと解釈しない。</w:t>
      </w:r>
    </w:p>
    <w:p>
      <w:pPr>
        <w:pStyle w:val="ClauseHeading"/>
      </w:pPr>
      <w:r>
        <w:rPr>
          <w:rFonts w:ascii="Noto Serif CJK JP" w:hAnsi="Noto Serif CJK JP" w:eastAsia="Noto Serif CJK JP"/>
          <w:b/>
        </w:rPr>
        <w:t>第34条（分離可能性）</w:t>
      </w:r>
    </w:p>
    <w:p>
      <w:pPr>
        <w:ind w:left="0" w:firstLine="0"/>
      </w:pPr>
      <w:r>
        <w:rPr>
          <w:rFonts w:ascii="Noto Serif CJK JP" w:hAnsi="Noto Serif CJK JP" w:eastAsia="Noto Serif CJK JP"/>
          <w:b w:val="0"/>
        </w:rPr>
        <w:t>1　本契約の一部が法令により無効又は執行不能と判断された場合でも、その他の条項は、当該無効部分と不可分である場合を除き、引き続き効力を有する。</w:t>
      </w:r>
    </w:p>
    <w:p>
      <w:pPr>
        <w:ind w:left="0" w:firstLine="0"/>
      </w:pPr>
      <w:r>
        <w:rPr>
          <w:rFonts w:ascii="Noto Serif CJK JP" w:hAnsi="Noto Serif CJK JP" w:eastAsia="Noto Serif CJK JP"/>
          <w:b w:val="0"/>
        </w:rPr>
        <w:t>2　無効又は執行不能となった条項については、当該法令の趣旨に最も適合する内容に読み替え、又は当事者間で適法な内容に改めるものとする。</w:t>
      </w:r>
    </w:p>
    <w:p>
      <w:pPr>
        <w:pStyle w:val="ClauseHeading"/>
      </w:pPr>
      <w:r>
        <w:rPr>
          <w:rFonts w:ascii="Noto Serif CJK JP" w:hAnsi="Noto Serif CJK JP" w:eastAsia="Noto Serif CJK JP"/>
          <w:b/>
        </w:rPr>
        <w:t>第35条（協議、準拠法および裁判管轄）</w:t>
      </w:r>
    </w:p>
    <w:p>
      <w:pPr>
        <w:ind w:left="0" w:firstLine="0"/>
      </w:pPr>
      <w:r>
        <w:rPr>
          <w:rFonts w:ascii="Noto Serif CJK JP" w:hAnsi="Noto Serif CJK JP" w:eastAsia="Noto Serif CJK JP"/>
          <w:b w:val="0"/>
        </w:rPr>
        <w:t>1　本契約に定めのない事項又は疑義が生じた場合、当事者は、関係法令および取引の趣旨に従い誠実に協議する。</w:t>
      </w:r>
    </w:p>
    <w:p>
      <w:pPr>
        <w:ind w:left="0" w:firstLine="0"/>
      </w:pPr>
      <w:r>
        <w:rPr>
          <w:rFonts w:ascii="Noto Serif CJK JP" w:hAnsi="Noto Serif CJK JP" w:eastAsia="Noto Serif CJK JP"/>
          <w:b w:val="0"/>
        </w:rPr>
        <w:t>2　本契約は日本法を準拠法とする。</w:t>
      </w:r>
    </w:p>
    <w:p>
      <w:pPr>
        <w:ind w:left="0" w:firstLine="0"/>
      </w:pPr>
      <w:r>
        <w:rPr>
          <w:rFonts w:ascii="Noto Serif CJK JP" w:hAnsi="Noto Serif CJK JP" w:eastAsia="Noto Serif CJK JP"/>
          <w:b w:val="0"/>
        </w:rPr>
        <w:t>3　本契約に関する訴訟の管轄は、民事訴訟法その他の法令に従うものとし、売主の法令上の裁判籍その他の権利を不当に制限しない。</w:t>
      </w:r>
    </w:p>
    <w:p/>
    <w:p>
      <w:r>
        <w:rPr>
          <w:rFonts w:ascii="Noto Serif CJK JP" w:hAnsi="Noto Serif CJK JP" w:eastAsia="Noto Serif CJK JP"/>
          <w:b w:val="0"/>
          <w:sz w:val="21"/>
        </w:rPr>
        <w:t>本契約締結の証として、本書を作成し、当事者が署名若しくは記名押印し、又は電子契約その他適法な方法により締結する。</w:t>
      </w:r>
    </w:p>
    <w:p/>
    <w:tbl>
      <w:tblPr>
        <w:tblStyle w:val="TableGrid"/>
        <w:tblW w:type="auto" w:w="0"/>
        <w:jc w:val="center"/>
        <w:tblLook w:firstColumn="1" w:firstRow="1" w:lastColumn="0" w:lastRow="0" w:noHBand="0" w:noVBand="1" w:val="04A0"/>
      </w:tblPr>
      <w:tblGrid>
        <w:gridCol w:w="4873"/>
        <w:gridCol w:w="4873"/>
      </w:tblGrid>
      <w:tr>
        <w:tc>
          <w:tcPr>
            <w:tcW w:type="dxa" w:w="4873"/>
            <w:vAlign w:val="top"/>
          </w:tcPr>
          <w:p>
            <w:r>
              <w:rPr>
                <w:rFonts w:ascii="Noto Serif CJK JP" w:hAnsi="Noto Serif CJK JP" w:eastAsia="Noto Serif CJK JP"/>
                <w:sz w:val="19"/>
              </w:rPr>
              <w:t>買取業者</w:t>
            </w:r>
          </w:p>
        </w:tc>
        <w:tc>
          <w:tcPr>
            <w:tcW w:type="dxa" w:w="4873"/>
            <w:vAlign w:val="top"/>
          </w:tcPr>
          <w:p>
            <w:r>
              <w:rPr>
                <w:rFonts w:ascii="Noto Serif CJK JP" w:hAnsi="Noto Serif CJK JP" w:eastAsia="Noto Serif CJK JP"/>
                <w:sz w:val="19"/>
              </w:rPr>
              <w:t>売主</w:t>
            </w:r>
          </w:p>
        </w:tc>
      </w:tr>
      <w:tr>
        <w:tc>
          <w:tcPr>
            <w:tcW w:type="dxa" w:w="4873"/>
            <w:vAlign w:val="top"/>
          </w:tcPr>
          <w:p>
            <w:r>
              <w:rPr>
                <w:rFonts w:ascii="Noto Serif CJK JP" w:hAnsi="Noto Serif CJK JP" w:eastAsia="Noto Serif CJK JP"/>
                <w:sz w:val="19"/>
              </w:rPr>
              <w:t>名称：</w:t>
              <w:br/>
              <w:t>所在地：</w:t>
              <w:br/>
              <w:t>代表者：</w:t>
              <w:br/>
              <w:t>担当者：</w:t>
              <w:br/>
              <w:t>古物商許可番号：</w:t>
              <w:br/>
              <w:t>署名・押印：</w:t>
            </w:r>
          </w:p>
        </w:tc>
        <w:tc>
          <w:tcPr>
            <w:tcW w:type="dxa" w:w="4873"/>
            <w:vAlign w:val="top"/>
          </w:tcPr>
          <w:p>
            <w:r>
              <w:rPr>
                <w:rFonts w:ascii="Noto Serif CJK JP" w:hAnsi="Noto Serif CJK JP" w:eastAsia="Noto Serif CJK JP"/>
                <w:sz w:val="19"/>
              </w:rPr>
              <w:t>住所：</w:t>
              <w:br/>
              <w:t>氏名：</w:t>
              <w:br/>
              <w:t>生年月日：</w:t>
              <w:br/>
              <w:t>職業：</w:t>
              <w:br/>
              <w:t>電話番号：</w:t>
              <w:br/>
              <w:t>署名・押印：</w:t>
            </w:r>
          </w:p>
        </w:tc>
      </w:tr>
    </w:tbl>
    <w:p>
      <w:r>
        <w:br w:type="page"/>
      </w:r>
    </w:p>
    <w:p>
      <w:pPr>
        <w:jc w:val="center"/>
      </w:pPr>
      <w:r>
        <w:rPr>
          <w:rFonts w:ascii="Noto Serif CJK JP" w:hAnsi="Noto Serif CJK JP" w:eastAsia="Noto Serif CJK JP"/>
          <w:b/>
          <w:sz w:val="28"/>
        </w:rPr>
        <w:t>別紙　査定・買取明細書</w:t>
      </w:r>
    </w:p>
    <w:p>
      <w:r>
        <w:rPr>
          <w:rFonts w:ascii="Noto Serif CJK JP" w:hAnsi="Noto Serif CJK JP" w:eastAsia="Noto Serif CJK JP"/>
          <w:b w:val="0"/>
          <w:sz w:val="19"/>
        </w:rPr>
        <w:t>本別紙は、本契約の一部を構成します。法令上必要となる物品の種類、品名、特徴、商標・製造者名、型式、購入価格、引渡時期・方法等を、実際の取引内容に応じて具体的に記載してください。</w:t>
      </w:r>
    </w:p>
    <w:tbl>
      <w:tblPr>
        <w:tblStyle w:val="TableGrid"/>
        <w:tblW w:type="auto" w:w="0"/>
        <w:jc w:val="center"/>
        <w:tblLook w:firstColumn="1" w:firstRow="1" w:lastColumn="0" w:lastRow="0" w:noHBand="0" w:noVBand="1" w:val="04A0"/>
      </w:tblPr>
      <w:tblGrid>
        <w:gridCol w:w="1083"/>
        <w:gridCol w:w="1083"/>
        <w:gridCol w:w="1083"/>
        <w:gridCol w:w="1083"/>
        <w:gridCol w:w="1083"/>
        <w:gridCol w:w="1083"/>
        <w:gridCol w:w="1083"/>
        <w:gridCol w:w="1083"/>
        <w:gridCol w:w="1083"/>
      </w:tblGrid>
      <w:tr>
        <w:tc>
          <w:tcPr>
            <w:tcW w:type="dxa" w:w="1083"/>
            <w:shd w:fill="EDEDED"/>
          </w:tcPr>
          <w:p>
            <w:pPr>
              <w:jc w:val="center"/>
            </w:pPr>
            <w:r>
              <w:rPr>
                <w:rFonts w:ascii="Noto Serif CJK JP" w:hAnsi="Noto Serif CJK JP" w:eastAsia="Noto Serif CJK JP"/>
                <w:b/>
                <w:sz w:val="16"/>
              </w:rPr>
              <w:t>No.</w:t>
            </w:r>
          </w:p>
        </w:tc>
        <w:tc>
          <w:tcPr>
            <w:tcW w:type="dxa" w:w="1083"/>
            <w:shd w:fill="EDEDED"/>
          </w:tcPr>
          <w:p>
            <w:pPr>
              <w:jc w:val="center"/>
            </w:pPr>
            <w:r>
              <w:rPr>
                <w:rFonts w:ascii="Noto Serif CJK JP" w:hAnsi="Noto Serif CJK JP" w:eastAsia="Noto Serif CJK JP"/>
                <w:b/>
                <w:sz w:val="16"/>
              </w:rPr>
              <w:t>物品の種類</w:t>
            </w:r>
          </w:p>
        </w:tc>
        <w:tc>
          <w:tcPr>
            <w:tcW w:type="dxa" w:w="1083"/>
            <w:shd w:fill="EDEDED"/>
          </w:tcPr>
          <w:p>
            <w:pPr>
              <w:jc w:val="center"/>
            </w:pPr>
            <w:r>
              <w:rPr>
                <w:rFonts w:ascii="Noto Serif CJK JP" w:hAnsi="Noto Serif CJK JP" w:eastAsia="Noto Serif CJK JP"/>
                <w:b/>
                <w:sz w:val="16"/>
              </w:rPr>
              <w:t>品名</w:t>
            </w:r>
          </w:p>
        </w:tc>
        <w:tc>
          <w:tcPr>
            <w:tcW w:type="dxa" w:w="1083"/>
            <w:shd w:fill="EDEDED"/>
          </w:tcPr>
          <w:p>
            <w:pPr>
              <w:jc w:val="center"/>
            </w:pPr>
            <w:r>
              <w:rPr>
                <w:rFonts w:ascii="Noto Serif CJK JP" w:hAnsi="Noto Serif CJK JP" w:eastAsia="Noto Serif CJK JP"/>
                <w:b/>
                <w:sz w:val="16"/>
              </w:rPr>
              <w:t>特徴・状態</w:t>
            </w:r>
          </w:p>
        </w:tc>
        <w:tc>
          <w:tcPr>
            <w:tcW w:type="dxa" w:w="1083"/>
            <w:shd w:fill="EDEDED"/>
          </w:tcPr>
          <w:p>
            <w:pPr>
              <w:jc w:val="center"/>
            </w:pPr>
            <w:r>
              <w:rPr>
                <w:rFonts w:ascii="Noto Serif CJK JP" w:hAnsi="Noto Serif CJK JP" w:eastAsia="Noto Serif CJK JP"/>
                <w:b/>
                <w:sz w:val="16"/>
              </w:rPr>
              <w:t>ブランド・製造者</w:t>
            </w:r>
          </w:p>
        </w:tc>
        <w:tc>
          <w:tcPr>
            <w:tcW w:type="dxa" w:w="1083"/>
            <w:shd w:fill="EDEDED"/>
          </w:tcPr>
          <w:p>
            <w:pPr>
              <w:jc w:val="center"/>
            </w:pPr>
            <w:r>
              <w:rPr>
                <w:rFonts w:ascii="Noto Serif CJK JP" w:hAnsi="Noto Serif CJK JP" w:eastAsia="Noto Serif CJK JP"/>
                <w:b/>
                <w:sz w:val="16"/>
              </w:rPr>
              <w:t>型式・番号</w:t>
            </w:r>
          </w:p>
        </w:tc>
        <w:tc>
          <w:tcPr>
            <w:tcW w:type="dxa" w:w="1083"/>
            <w:shd w:fill="EDEDED"/>
          </w:tcPr>
          <w:p>
            <w:pPr>
              <w:jc w:val="center"/>
            </w:pPr>
            <w:r>
              <w:rPr>
                <w:rFonts w:ascii="Noto Serif CJK JP" w:hAnsi="Noto Serif CJK JP" w:eastAsia="Noto Serif CJK JP"/>
                <w:b/>
                <w:sz w:val="16"/>
              </w:rPr>
              <w:t>数量</w:t>
            </w:r>
          </w:p>
        </w:tc>
        <w:tc>
          <w:tcPr>
            <w:tcW w:type="dxa" w:w="1083"/>
            <w:shd w:fill="EDEDED"/>
          </w:tcPr>
          <w:p>
            <w:pPr>
              <w:jc w:val="center"/>
            </w:pPr>
            <w:r>
              <w:rPr>
                <w:rFonts w:ascii="Noto Serif CJK JP" w:hAnsi="Noto Serif CJK JP" w:eastAsia="Noto Serif CJK JP"/>
                <w:b/>
                <w:sz w:val="16"/>
              </w:rPr>
              <w:t>買取価格</w:t>
            </w:r>
          </w:p>
        </w:tc>
        <w:tc>
          <w:tcPr>
            <w:tcW w:type="dxa" w:w="1083"/>
            <w:shd w:fill="EDEDED"/>
          </w:tcPr>
          <w:p>
            <w:pPr>
              <w:jc w:val="center"/>
            </w:pPr>
            <w:r>
              <w:rPr>
                <w:rFonts w:ascii="Noto Serif CJK JP" w:hAnsi="Noto Serif CJK JP" w:eastAsia="Noto Serif CJK JP"/>
                <w:b/>
                <w:sz w:val="16"/>
              </w:rPr>
              <w:t>引渡時期・方法</w:t>
            </w:r>
          </w:p>
        </w:tc>
      </w:tr>
      <w:tr>
        <w:tc>
          <w:tcPr>
            <w:tcW w:type="dxa" w:w="1083"/>
            <w:vAlign w:val="center"/>
          </w:tcPr>
          <w:p>
            <w:r>
              <w:rPr>
                <w:rFonts w:ascii="Noto Serif CJK JP" w:hAnsi="Noto Serif CJK JP" w:eastAsia="Noto Serif CJK JP"/>
                <w:sz w:val="16"/>
              </w:rPr>
              <w:t>1</w:t>
            </w:r>
          </w:p>
        </w:tc>
        <w:tc>
          <w:tcPr>
            <w:tcW w:type="dxa" w:w="1083"/>
            <w:vAlign w:val="center"/>
          </w:tcPr>
          <w:p/>
        </w:tc>
        <w:tc>
          <w:tcPr>
            <w:tcW w:type="dxa" w:w="1083"/>
            <w:vAlign w:val="center"/>
          </w:tcPr>
          <w:p/>
        </w:tc>
        <w:tc>
          <w:tcPr>
            <w:tcW w:type="dxa" w:w="1083"/>
            <w:vAlign w:val="center"/>
          </w:tcPr>
          <w:p/>
        </w:tc>
        <w:tc>
          <w:tcPr>
            <w:tcW w:type="dxa" w:w="1083"/>
            <w:vAlign w:val="center"/>
          </w:tcPr>
          <w:p/>
        </w:tc>
        <w:tc>
          <w:tcPr>
            <w:tcW w:type="dxa" w:w="1083"/>
            <w:vAlign w:val="center"/>
          </w:tcPr>
          <w:p/>
        </w:tc>
        <w:tc>
          <w:tcPr>
            <w:tcW w:type="dxa" w:w="1083"/>
            <w:vAlign w:val="center"/>
          </w:tcPr>
          <w:p/>
        </w:tc>
        <w:tc>
          <w:tcPr>
            <w:tcW w:type="dxa" w:w="1083"/>
            <w:vAlign w:val="center"/>
          </w:tcPr>
          <w:p/>
        </w:tc>
        <w:tc>
          <w:tcPr>
            <w:tcW w:type="dxa" w:w="1083"/>
            <w:vAlign w:val="center"/>
          </w:tcPr>
          <w:p/>
        </w:tc>
      </w:tr>
      <w:tr>
        <w:tc>
          <w:tcPr>
            <w:tcW w:type="dxa" w:w="1083"/>
            <w:vAlign w:val="center"/>
          </w:tcPr>
          <w:p>
            <w:r>
              <w:rPr>
                <w:rFonts w:ascii="Noto Serif CJK JP" w:hAnsi="Noto Serif CJK JP" w:eastAsia="Noto Serif CJK JP"/>
                <w:sz w:val="16"/>
              </w:rPr>
              <w:t>2</w:t>
            </w:r>
          </w:p>
        </w:tc>
        <w:tc>
          <w:tcPr>
            <w:tcW w:type="dxa" w:w="1083"/>
            <w:vAlign w:val="center"/>
          </w:tcPr>
          <w:p/>
        </w:tc>
        <w:tc>
          <w:tcPr>
            <w:tcW w:type="dxa" w:w="1083"/>
            <w:vAlign w:val="center"/>
          </w:tcPr>
          <w:p/>
        </w:tc>
        <w:tc>
          <w:tcPr>
            <w:tcW w:type="dxa" w:w="1083"/>
            <w:vAlign w:val="center"/>
          </w:tcPr>
          <w:p/>
        </w:tc>
        <w:tc>
          <w:tcPr>
            <w:tcW w:type="dxa" w:w="1083"/>
            <w:vAlign w:val="center"/>
          </w:tcPr>
          <w:p/>
        </w:tc>
        <w:tc>
          <w:tcPr>
            <w:tcW w:type="dxa" w:w="1083"/>
            <w:vAlign w:val="center"/>
          </w:tcPr>
          <w:p/>
        </w:tc>
        <w:tc>
          <w:tcPr>
            <w:tcW w:type="dxa" w:w="1083"/>
            <w:vAlign w:val="center"/>
          </w:tcPr>
          <w:p/>
        </w:tc>
        <w:tc>
          <w:tcPr>
            <w:tcW w:type="dxa" w:w="1083"/>
            <w:vAlign w:val="center"/>
          </w:tcPr>
          <w:p/>
        </w:tc>
        <w:tc>
          <w:tcPr>
            <w:tcW w:type="dxa" w:w="1083"/>
            <w:vAlign w:val="center"/>
          </w:tcPr>
          <w:p/>
        </w:tc>
      </w:tr>
      <w:tr>
        <w:tc>
          <w:tcPr>
            <w:tcW w:type="dxa" w:w="1083"/>
            <w:vAlign w:val="center"/>
          </w:tcPr>
          <w:p>
            <w:r>
              <w:rPr>
                <w:rFonts w:ascii="Noto Serif CJK JP" w:hAnsi="Noto Serif CJK JP" w:eastAsia="Noto Serif CJK JP"/>
                <w:sz w:val="16"/>
              </w:rPr>
              <w:t>3</w:t>
            </w:r>
          </w:p>
        </w:tc>
        <w:tc>
          <w:tcPr>
            <w:tcW w:type="dxa" w:w="1083"/>
            <w:vAlign w:val="center"/>
          </w:tcPr>
          <w:p/>
        </w:tc>
        <w:tc>
          <w:tcPr>
            <w:tcW w:type="dxa" w:w="1083"/>
            <w:vAlign w:val="center"/>
          </w:tcPr>
          <w:p/>
        </w:tc>
        <w:tc>
          <w:tcPr>
            <w:tcW w:type="dxa" w:w="1083"/>
            <w:vAlign w:val="center"/>
          </w:tcPr>
          <w:p/>
        </w:tc>
        <w:tc>
          <w:tcPr>
            <w:tcW w:type="dxa" w:w="1083"/>
            <w:vAlign w:val="center"/>
          </w:tcPr>
          <w:p/>
        </w:tc>
        <w:tc>
          <w:tcPr>
            <w:tcW w:type="dxa" w:w="1083"/>
            <w:vAlign w:val="center"/>
          </w:tcPr>
          <w:p/>
        </w:tc>
        <w:tc>
          <w:tcPr>
            <w:tcW w:type="dxa" w:w="1083"/>
            <w:vAlign w:val="center"/>
          </w:tcPr>
          <w:p/>
        </w:tc>
        <w:tc>
          <w:tcPr>
            <w:tcW w:type="dxa" w:w="1083"/>
            <w:vAlign w:val="center"/>
          </w:tcPr>
          <w:p/>
        </w:tc>
        <w:tc>
          <w:tcPr>
            <w:tcW w:type="dxa" w:w="1083"/>
            <w:vAlign w:val="center"/>
          </w:tcPr>
          <w:p/>
        </w:tc>
      </w:tr>
      <w:tr>
        <w:tc>
          <w:tcPr>
            <w:tcW w:type="dxa" w:w="1083"/>
            <w:vAlign w:val="center"/>
          </w:tcPr>
          <w:p>
            <w:r>
              <w:rPr>
                <w:rFonts w:ascii="Noto Serif CJK JP" w:hAnsi="Noto Serif CJK JP" w:eastAsia="Noto Serif CJK JP"/>
                <w:sz w:val="16"/>
              </w:rPr>
              <w:t>4</w:t>
            </w:r>
          </w:p>
        </w:tc>
        <w:tc>
          <w:tcPr>
            <w:tcW w:type="dxa" w:w="1083"/>
            <w:vAlign w:val="center"/>
          </w:tcPr>
          <w:p/>
        </w:tc>
        <w:tc>
          <w:tcPr>
            <w:tcW w:type="dxa" w:w="1083"/>
            <w:vAlign w:val="center"/>
          </w:tcPr>
          <w:p/>
        </w:tc>
        <w:tc>
          <w:tcPr>
            <w:tcW w:type="dxa" w:w="1083"/>
            <w:vAlign w:val="center"/>
          </w:tcPr>
          <w:p/>
        </w:tc>
        <w:tc>
          <w:tcPr>
            <w:tcW w:type="dxa" w:w="1083"/>
            <w:vAlign w:val="center"/>
          </w:tcPr>
          <w:p/>
        </w:tc>
        <w:tc>
          <w:tcPr>
            <w:tcW w:type="dxa" w:w="1083"/>
            <w:vAlign w:val="center"/>
          </w:tcPr>
          <w:p/>
        </w:tc>
        <w:tc>
          <w:tcPr>
            <w:tcW w:type="dxa" w:w="1083"/>
            <w:vAlign w:val="center"/>
          </w:tcPr>
          <w:p/>
        </w:tc>
        <w:tc>
          <w:tcPr>
            <w:tcW w:type="dxa" w:w="1083"/>
            <w:vAlign w:val="center"/>
          </w:tcPr>
          <w:p/>
        </w:tc>
        <w:tc>
          <w:tcPr>
            <w:tcW w:type="dxa" w:w="1083"/>
            <w:vAlign w:val="center"/>
          </w:tcPr>
          <w:p/>
        </w:tc>
      </w:tr>
      <w:tr>
        <w:tc>
          <w:tcPr>
            <w:tcW w:type="dxa" w:w="1083"/>
            <w:vAlign w:val="center"/>
          </w:tcPr>
          <w:p>
            <w:r>
              <w:rPr>
                <w:rFonts w:ascii="Noto Serif CJK JP" w:hAnsi="Noto Serif CJK JP" w:eastAsia="Noto Serif CJK JP"/>
                <w:sz w:val="16"/>
              </w:rPr>
              <w:t>5</w:t>
            </w:r>
          </w:p>
        </w:tc>
        <w:tc>
          <w:tcPr>
            <w:tcW w:type="dxa" w:w="1083"/>
            <w:vAlign w:val="center"/>
          </w:tcPr>
          <w:p/>
        </w:tc>
        <w:tc>
          <w:tcPr>
            <w:tcW w:type="dxa" w:w="1083"/>
            <w:vAlign w:val="center"/>
          </w:tcPr>
          <w:p/>
        </w:tc>
        <w:tc>
          <w:tcPr>
            <w:tcW w:type="dxa" w:w="1083"/>
            <w:vAlign w:val="center"/>
          </w:tcPr>
          <w:p/>
        </w:tc>
        <w:tc>
          <w:tcPr>
            <w:tcW w:type="dxa" w:w="1083"/>
            <w:vAlign w:val="center"/>
          </w:tcPr>
          <w:p/>
        </w:tc>
        <w:tc>
          <w:tcPr>
            <w:tcW w:type="dxa" w:w="1083"/>
            <w:vAlign w:val="center"/>
          </w:tcPr>
          <w:p/>
        </w:tc>
        <w:tc>
          <w:tcPr>
            <w:tcW w:type="dxa" w:w="1083"/>
            <w:vAlign w:val="center"/>
          </w:tcPr>
          <w:p/>
        </w:tc>
        <w:tc>
          <w:tcPr>
            <w:tcW w:type="dxa" w:w="1083"/>
            <w:vAlign w:val="center"/>
          </w:tcPr>
          <w:p/>
        </w:tc>
        <w:tc>
          <w:tcPr>
            <w:tcW w:type="dxa" w:w="1083"/>
            <w:vAlign w:val="center"/>
          </w:tcPr>
          <w:p/>
        </w:tc>
      </w:tr>
    </w:tbl>
    <w:p/>
    <w:tbl>
      <w:tblPr>
        <w:tblStyle w:val="TableGrid"/>
        <w:tblW w:type="auto" w:w="0"/>
        <w:jc w:val="center"/>
        <w:tblLook w:firstColumn="1" w:firstRow="1" w:lastColumn="0" w:lastRow="0" w:noHBand="0" w:noVBand="1" w:val="04A0"/>
      </w:tblPr>
      <w:tblGrid>
        <w:gridCol w:w="2436"/>
        <w:gridCol w:w="2436"/>
        <w:gridCol w:w="2436"/>
        <w:gridCol w:w="2436"/>
      </w:tblGrid>
      <w:tr>
        <w:tc>
          <w:tcPr>
            <w:tcW w:type="dxa" w:w="2436"/>
            <w:shd w:fill="F2F2F2"/>
          </w:tcPr>
          <w:p>
            <w:r>
              <w:rPr>
                <w:rFonts w:ascii="Noto Serif CJK JP" w:hAnsi="Noto Serif CJK JP" w:eastAsia="Noto Serif CJK JP"/>
                <w:b/>
                <w:sz w:val="17"/>
              </w:rPr>
              <w:t>買取価格合計</w:t>
            </w:r>
          </w:p>
        </w:tc>
        <w:tc>
          <w:tcPr>
            <w:tcW w:type="dxa" w:w="2436"/>
          </w:tcPr>
          <w:p>
            <w:r>
              <w:rPr>
                <w:rFonts w:ascii="Noto Serif CJK JP" w:hAnsi="Noto Serif CJK JP" w:eastAsia="Noto Serif CJK JP"/>
                <w:b w:val="0"/>
                <w:sz w:val="17"/>
              </w:rPr>
              <w:t xml:space="preserve">￥　　　　　　　　　</w:t>
            </w:r>
          </w:p>
        </w:tc>
        <w:tc>
          <w:tcPr>
            <w:tcW w:type="dxa" w:w="2436"/>
            <w:shd w:fill="F2F2F2"/>
          </w:tcPr>
          <w:p>
            <w:r>
              <w:rPr>
                <w:rFonts w:ascii="Noto Serif CJK JP" w:hAnsi="Noto Serif CJK JP" w:eastAsia="Noto Serif CJK JP"/>
                <w:b/>
                <w:sz w:val="17"/>
              </w:rPr>
              <w:t>支払時期</w:t>
            </w:r>
          </w:p>
        </w:tc>
        <w:tc>
          <w:tcPr>
            <w:tcW w:type="dxa" w:w="2436"/>
          </w:tcPr>
          <w:p>
            <w:r>
              <w:rPr>
                <w:rFonts w:ascii="Noto Serif CJK JP" w:hAnsi="Noto Serif CJK JP" w:eastAsia="Noto Serif CJK JP"/>
                <w:b w:val="0"/>
                <w:sz w:val="17"/>
              </w:rPr>
              <w:t xml:space="preserve">　　　　　　　　　</w:t>
            </w:r>
          </w:p>
        </w:tc>
      </w:tr>
      <w:tr>
        <w:tc>
          <w:tcPr>
            <w:tcW w:type="dxa" w:w="2436"/>
            <w:shd w:fill="F2F2F2"/>
          </w:tcPr>
          <w:p>
            <w:r>
              <w:rPr>
                <w:rFonts w:ascii="Noto Serif CJK JP" w:hAnsi="Noto Serif CJK JP" w:eastAsia="Noto Serif CJK JP"/>
                <w:b/>
                <w:sz w:val="17"/>
              </w:rPr>
              <w:t>支払方法</w:t>
            </w:r>
          </w:p>
        </w:tc>
        <w:tc>
          <w:tcPr>
            <w:tcW w:type="dxa" w:w="2436"/>
          </w:tcPr>
          <w:p>
            <w:r>
              <w:rPr>
                <w:rFonts w:ascii="Noto Serif CJK JP" w:hAnsi="Noto Serif CJK JP" w:eastAsia="Noto Serif CJK JP"/>
                <w:b w:val="0"/>
                <w:sz w:val="17"/>
              </w:rPr>
              <w:t>□現金　□銀行振込　□その他</w:t>
            </w:r>
          </w:p>
        </w:tc>
        <w:tc>
          <w:tcPr>
            <w:tcW w:type="dxa" w:w="2436"/>
            <w:shd w:fill="F2F2F2"/>
          </w:tcPr>
          <w:p>
            <w:r>
              <w:rPr>
                <w:rFonts w:ascii="Noto Serif CJK JP" w:hAnsi="Noto Serif CJK JP" w:eastAsia="Noto Serif CJK JP"/>
                <w:b/>
                <w:sz w:val="17"/>
              </w:rPr>
              <w:t>引渡時期</w:t>
            </w:r>
          </w:p>
        </w:tc>
        <w:tc>
          <w:tcPr>
            <w:tcW w:type="dxa" w:w="2436"/>
          </w:tcPr>
          <w:p>
            <w:r>
              <w:rPr>
                <w:rFonts w:ascii="Noto Serif CJK JP" w:hAnsi="Noto Serif CJK JP" w:eastAsia="Noto Serif CJK JP"/>
                <w:b w:val="0"/>
                <w:sz w:val="17"/>
              </w:rPr>
              <w:t xml:space="preserve">　　　　　　　　　</w:t>
            </w:r>
          </w:p>
        </w:tc>
      </w:tr>
      <w:tr>
        <w:tc>
          <w:tcPr>
            <w:tcW w:type="dxa" w:w="2436"/>
            <w:shd w:fill="F2F2F2"/>
          </w:tcPr>
          <w:p>
            <w:r>
              <w:rPr>
                <w:rFonts w:ascii="Noto Serif CJK JP" w:hAnsi="Noto Serif CJK JP" w:eastAsia="Noto Serif CJK JP"/>
                <w:b/>
                <w:sz w:val="17"/>
              </w:rPr>
              <w:t>引渡方法</w:t>
            </w:r>
          </w:p>
        </w:tc>
        <w:tc>
          <w:tcPr>
            <w:tcW w:type="dxa" w:w="2436"/>
          </w:tcPr>
          <w:p>
            <w:r>
              <w:rPr>
                <w:rFonts w:ascii="Noto Serif CJK JP" w:hAnsi="Noto Serif CJK JP" w:eastAsia="Noto Serif CJK JP"/>
                <w:b w:val="0"/>
                <w:sz w:val="17"/>
              </w:rPr>
              <w:t>□当日引渡し　□後日引渡し　□その他</w:t>
            </w:r>
          </w:p>
        </w:tc>
        <w:tc>
          <w:tcPr>
            <w:tcW w:type="dxa" w:w="2436"/>
            <w:shd w:fill="F2F2F2"/>
          </w:tcPr>
          <w:p>
            <w:r>
              <w:rPr>
                <w:rFonts w:ascii="Noto Serif CJK JP" w:hAnsi="Noto Serif CJK JP" w:eastAsia="Noto Serif CJK JP"/>
                <w:b/>
                <w:sz w:val="17"/>
              </w:rPr>
              <w:t>引渡場所</w:t>
            </w:r>
          </w:p>
        </w:tc>
        <w:tc>
          <w:tcPr>
            <w:tcW w:type="dxa" w:w="2436"/>
          </w:tcPr>
          <w:p>
            <w:r>
              <w:rPr>
                <w:rFonts w:ascii="Noto Serif CJK JP" w:hAnsi="Noto Serif CJK JP" w:eastAsia="Noto Serif CJK JP"/>
                <w:b w:val="0"/>
                <w:sz w:val="17"/>
              </w:rPr>
              <w:t xml:space="preserve">　　　　　　　　　</w:t>
            </w:r>
          </w:p>
        </w:tc>
      </w:tr>
      <w:tr>
        <w:tc>
          <w:tcPr>
            <w:tcW w:type="dxa" w:w="2436"/>
            <w:shd w:fill="F2F2F2"/>
          </w:tcPr>
          <w:p>
            <w:r>
              <w:rPr>
                <w:rFonts w:ascii="Noto Serif CJK JP" w:hAnsi="Noto Serif CJK JP" w:eastAsia="Noto Serif CJK JP"/>
                <w:b/>
                <w:sz w:val="17"/>
              </w:rPr>
              <w:t>その他特約</w:t>
            </w:r>
          </w:p>
        </w:tc>
        <w:tc>
          <w:tcPr>
            <w:tcW w:type="dxa" w:w="2436"/>
          </w:tcPr>
          <w:p>
            <w:r>
              <w:rPr>
                <w:rFonts w:ascii="Noto Serif CJK JP" w:hAnsi="Noto Serif CJK JP" w:eastAsia="Noto Serif CJK JP"/>
                <w:b w:val="0"/>
                <w:sz w:val="17"/>
              </w:rPr>
              <w:t xml:space="preserve">　　　　　　　　　　　　　　　　　　　</w:t>
            </w:r>
          </w:p>
        </w:tc>
        <w:tc>
          <w:tcPr>
            <w:tcW w:type="dxa" w:w="2436"/>
            <w:shd w:fill="F2F2F2"/>
          </w:tcPr>
          <w:p>
            <w:r>
              <w:rPr>
                <w:rFonts w:ascii="Noto Serif CJK JP" w:hAnsi="Noto Serif CJK JP" w:eastAsia="Noto Serif CJK JP"/>
                <w:b/>
                <w:sz w:val="17"/>
              </w:rPr>
              <w:t>契約解除に関する特約</w:t>
            </w:r>
          </w:p>
        </w:tc>
        <w:tc>
          <w:tcPr>
            <w:tcW w:type="dxa" w:w="2436"/>
          </w:tcPr>
          <w:p>
            <w:r>
              <w:rPr>
                <w:rFonts w:ascii="Noto Serif CJK JP" w:hAnsi="Noto Serif CJK JP" w:eastAsia="Noto Serif CJK JP"/>
                <w:b w:val="0"/>
                <w:sz w:val="17"/>
              </w:rPr>
              <w:t>法令に反しない範囲で記載</w:t>
            </w:r>
          </w:p>
        </w:tc>
      </w:tr>
      <w:tr>
        <w:tc>
          <w:tcPr>
            <w:tcW w:type="dxa" w:w="2436"/>
            <w:shd w:fill="F2F2F2"/>
          </w:tcPr>
          <w:p>
            <w:r>
              <w:rPr>
                <w:rFonts w:ascii="Noto Serif CJK JP" w:hAnsi="Noto Serif CJK JP" w:eastAsia="Noto Serif CJK JP"/>
                <w:b/>
                <w:sz w:val="17"/>
              </w:rPr>
              <w:t>クーリング・オフ通知先</w:t>
            </w:r>
          </w:p>
        </w:tc>
        <w:tc>
          <w:tcPr>
            <w:tcW w:type="dxa" w:w="2436"/>
          </w:tcPr>
          <w:p>
            <w:r>
              <w:rPr>
                <w:rFonts w:ascii="Noto Serif CJK JP" w:hAnsi="Noto Serif CJK JP" w:eastAsia="Noto Serif CJK JP"/>
                <w:b w:val="0"/>
                <w:sz w:val="17"/>
              </w:rPr>
              <w:t xml:space="preserve">住所：　　　　　　　　　　　　　　　</w:t>
            </w:r>
          </w:p>
        </w:tc>
        <w:tc>
          <w:tcPr>
            <w:tcW w:type="dxa" w:w="2436"/>
            <w:shd w:fill="F2F2F2"/>
          </w:tcPr>
          <w:p>
            <w:r>
              <w:rPr>
                <w:rFonts w:ascii="Noto Serif CJK JP" w:hAnsi="Noto Serif CJK JP" w:eastAsia="Noto Serif CJK JP"/>
                <w:b/>
                <w:sz w:val="17"/>
              </w:rPr>
              <w:t>電子メール等</w:t>
            </w:r>
          </w:p>
        </w:tc>
        <w:tc>
          <w:tcPr>
            <w:tcW w:type="dxa" w:w="2436"/>
          </w:tcPr>
          <w:p>
            <w:r>
              <w:rPr>
                <w:rFonts w:ascii="Noto Serif CJK JP" w:hAnsi="Noto Serif CJK JP" w:eastAsia="Noto Serif CJK JP"/>
                <w:b w:val="0"/>
                <w:sz w:val="17"/>
              </w:rPr>
              <w:t xml:space="preserve">　　　　　　　　　</w:t>
            </w:r>
          </w:p>
        </w:tc>
      </w:tr>
    </w:tbl>
    <w:p>
      <w:pPr>
        <w:spacing w:after="0" w:before="0"/>
      </w:pPr>
    </w:p>
    <w:tbl>
      <w:tblPr>
        <w:tblStyle w:val="TableGrid"/>
        <w:tblW w:type="auto" w:w="0"/>
        <w:tblLook w:firstColumn="1" w:firstRow="1" w:lastColumn="0" w:lastRow="0" w:noHBand="0" w:noVBand="1" w:val="04A0"/>
      </w:tblPr>
      <w:tblGrid>
        <w:gridCol w:w="9746"/>
      </w:tblGrid>
      <w:tr>
        <w:tc>
          <w:tcPr>
            <w:tcW w:type="dxa" w:w="9746"/>
          </w:tcPr>
          <w:p>
            <w:r>
              <w:rPr>
                <w:rFonts w:ascii="Noto Serif CJK JP" w:hAnsi="Noto Serif CJK JP" w:eastAsia="Noto Serif CJK JP"/>
                <w:b/>
                <w:sz w:val="20"/>
              </w:rPr>
              <w:t>売主確認欄</w:t>
            </w:r>
          </w:p>
          <w:p>
            <w:r>
              <w:rPr>
                <w:rFonts w:ascii="Noto Serif CJK JP" w:hAnsi="Noto Serif CJK JP" w:eastAsia="Noto Serif CJK JP"/>
                <w:b w:val="0"/>
                <w:sz w:val="18"/>
              </w:rPr>
              <w:t>□ 私は、査定額および本契約の内容について説明を受け、買取を申し込みます。</w:t>
            </w:r>
          </w:p>
          <w:p>
            <w:r>
              <w:rPr>
                <w:rFonts w:ascii="Noto Serif CJK JP" w:hAnsi="Noto Serif CJK JP" w:eastAsia="Noto Serif CJK JP"/>
                <w:b w:val="0"/>
                <w:sz w:val="18"/>
              </w:rPr>
              <w:t>□ 法定クーリング・オフの対象となる場合、契約書面等を受領した日から8日間はクーリング・オフできる旨の説明を受けました。</w:t>
            </w:r>
          </w:p>
          <w:p>
            <w:r>
              <w:rPr>
                <w:rFonts w:ascii="Noto Serif CJK JP" w:hAnsi="Noto Serif CJK JP" w:eastAsia="Noto Serif CJK JP"/>
                <w:b w:val="0"/>
                <w:sz w:val="18"/>
              </w:rPr>
              <w:t>□ 法定クーリング・オフの対象となる場合、8日間は物品の引渡しを拒むことができる旨の説明を受けました。</w:t>
            </w:r>
          </w:p>
          <w:p>
            <w:r>
              <w:rPr>
                <w:rFonts w:ascii="Noto Serif CJK JP" w:hAnsi="Noto Serif CJK JP" w:eastAsia="Noto Serif CJK JP"/>
                <w:b w:val="0"/>
                <w:sz w:val="18"/>
              </w:rPr>
              <w:t>□ クーリング・オフ期間中に物品を引き渡す場合でも、クーリング・オフの権利が失われない旨の説明を受けました。</w:t>
            </w:r>
          </w:p>
        </w:tc>
      </w:tr>
    </w:tbl>
    <w:p>
      <w:pPr>
        <w:spacing w:after="0" w:before="0"/>
      </w:pPr>
    </w:p>
    <w:p>
      <w:pPr>
        <w:spacing w:before="40" w:after="40"/>
      </w:pPr>
      <w:r>
        <w:rPr>
          <w:rFonts w:ascii="Noto Serif CJK JP" w:hAnsi="Noto Serif CJK JP" w:eastAsia="Noto Serif CJK JP"/>
          <w:b/>
          <w:sz w:val="19"/>
        </w:rPr>
        <w:t>免責事項</w:t>
      </w:r>
    </w:p>
    <w:p>
      <w:pPr>
        <w:spacing w:line="288" w:lineRule="auto" w:after="0"/>
      </w:pPr>
      <w:r>
        <w:rPr>
          <w:rFonts w:ascii="Noto Serif CJK JP" w:hAnsi="Noto Serif CJK JP" w:eastAsia="Noto Serif CJK JP"/>
          <w:sz w:val="17"/>
        </w:rPr>
        <w:t>本ひな形は一般的な参考例であり、個別の取扱物品、取引態様、古物商許可、特定商取引法上の適用除外その他の事情により必要な条項・表示・手続は異なります。実際の利用にあたっては最新の法令・行政解釈を確認し、必要に応じて弁護士等の専門家への確認を推奨します。</w:t>
      </w: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erif CJK JP" w:hAnsi="Noto Serif CJK JP" w:eastAsia="Noto Serif CJK JP"/>
        <w:b w:val="0"/>
        <w:sz w:val="16"/>
      </w:rPr>
      <w:t>出張買取契約書（一般参考ひな形）</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60"/>
    </w:pPr>
    <w:rPr>
      <w:rFonts w:ascii="Noto Serif CJK JP" w:hAnsi="Noto Serif CJK JP" w:eastAsia="Noto Serif CJK JP"/>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Serif CJK JP" w:hAnsi="Noto Serif CJK JP" w:eastAsia="Noto Serif CJK JP"/>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Noto Serif CJK JP" w:hAnsi="Noto Serif CJK JP" w:eastAsia="Noto Serif CJK JP"/>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erif CJK JP" w:hAnsi="Noto Serif CJK JP" w:eastAsia="Noto Serif CJK JP"/>
      <w:b/>
      <w:color w:val="17365D" w:themeColor="text2" w:themeShade="BF"/>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lauseHeading">
    <w:name w:val="ClauseHeading"/>
    <w:pPr>
      <w:keepNext/>
      <w:spacing w:before="160" w:after="40"/>
    </w:pPr>
    <w:rPr>
      <w:rFonts w:ascii="Noto Serif CJK JP" w:hAnsi="Noto Serif CJK JP" w:eastAsia="Noto Serif CJK JP"/>
      <w:b/>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