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q19rc64vsh9" w:id="0"/>
      <w:bookmarkEnd w:id="0"/>
      <w:r w:rsidDel="00000000" w:rsidR="00000000" w:rsidRPr="00000000">
        <w:rPr>
          <w:rFonts w:ascii="Arial Unicode MS" w:cs="Arial Unicode MS" w:eastAsia="Arial Unicode MS" w:hAnsi="Arial Unicode MS"/>
          <w:b w:val="1"/>
          <w:bCs w:val="1"/>
          <w:sz w:val="44"/>
          <w:szCs w:val="44"/>
          <w:rtl w:val="0"/>
        </w:rPr>
        <w:t xml:space="preserve">マーケティング支援契約書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●●株式会社（以下「甲」という。）と●●（以下「乙」という。）は、甲のマーケティング支援業務に関し、以下のとおり契約（以下「本契約」という。）を締結する。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v8x0wm73yx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本契約は、甲の事業に関するマーケティング戦略の立案および実行支援を乙が行うことを目的とする。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mn7dglaq0kj"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乙は、以下のマーケティング支援業務（以下「本業務」という。）を行う。</w:t>
        <w:br w:type="textWrapping"/>
        <w:t xml:space="preserve">・市場調査および競合分析</w:t>
        <w:br w:type="textWrapping"/>
        <w:t xml:space="preserve">・マーケティング戦略の立案</w:t>
        <w:br w:type="textWrapping"/>
        <w:t xml:space="preserve">・広告運用支援（SNS広告、リスティング広告等）</w:t>
        <w:br w:type="textWrapping"/>
        <w:t xml:space="preserve">・コンテンツ企画および改善提案</w:t>
        <w:br w:type="textWrapping"/>
        <w:t xml:space="preserve">・KPI設定および効果測定</w:t>
        <w:br w:type="textWrapping"/>
        <w:t xml:space="preserve">・その他、甲乙協議のうえ定める業務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本業務の具体的内容、範囲および成果物については、別途書面または電磁的方法により定める。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1pw9kjxne1z5"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4bzm0mp6wd7y"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甲は乙に対し、本業務の対価として、以下の報酬を支払う。</w:t>
        <w:br w:type="textWrapping"/>
        <w:t xml:space="preserve">・月額固定報酬：金●円（税別）</w:t>
        <w:br w:type="textWrapping"/>
        <w:t xml:space="preserve">・成果報酬（該当する場合）：●●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支払時期および方法は、乙が発行する請求書に基づき、翌月末日までに乙指定口座へ振込により支払う。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3gl71bmdon1c"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乙は、本業務の全部または一部を第三者に再委託する場合、事前に甲の承諾を得るものとする。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psys72c8lq7"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甲および乙は、本契約に関連して知り得た相手方の営業上、技術上その他一切の情報を秘密として取り扱い、第三者に開示または漏洩してはならない。</w:t>
        <w:br w:type="textWrapping"/>
        <w:t xml:space="preserve">２　本条の義務は、本契約終了後も●年間存続する。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※構造は中小企業庁レベルのNDAに準拠した一般的水準で設計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nt5f7oykgq7"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本業務により作成された資料、コンテンツ、分析結果その他の成果物（以下「成果物」という。）の著作権は、原則として甲に帰属する。</w:t>
        <w:br w:type="textWrapping"/>
        <w:t xml:space="preserve">２　乙は、自己の実績として成果物を匿名化したうえで利用することができる。</w:t>
        <w:br w:type="textWrapping"/>
        <w:t xml:space="preserve">３　第三者の知的財産権を侵害しないよう、乙は十分配慮するものとする。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uidbjay3tdu" w:id="8"/>
      <w:bookmarkEnd w:id="8"/>
      <w:r w:rsidDel="00000000" w:rsidR="00000000" w:rsidRPr="00000000">
        <w:rPr>
          <w:rFonts w:ascii="Arial Unicode MS" w:cs="Arial Unicode MS" w:eastAsia="Arial Unicode MS" w:hAnsi="Arial Unicode MS"/>
          <w:b w:val="1"/>
          <w:bCs w:val="1"/>
          <w:sz w:val="34"/>
          <w:szCs w:val="34"/>
          <w:rtl w:val="0"/>
        </w:rPr>
        <w:t xml:space="preserve">第8条（競業避止）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乙は、本契約期間中および終了後●ヶ月間、甲の競合企業に対し同種のマーケティング支援を行う場合には、事前に甲へ通知するものとする。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g9v5bxfefblk"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甲または乙は、相手方が本契約に違反し、相当期間を定めて是正を求めたにもかかわらず改善されない場合、本契約を解除できる。</w:t>
        <w:br w:type="textWrapping"/>
        <w:t xml:space="preserve">２　やむを得ない事情により契約を終了する場合、●日前までに書面により通知するものとする。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6g3coz11ncm"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甲および乙は、本契約に違反し相手方に損害を与えた場合、通常かつ直接の損害の範囲内で賠償責任を負う。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o7rd8iy1uqd"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乙は、本業務の実施にあたり最大限の注意を払うが、マーケティング施策の成果や売上向上について保証するものではない。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ysholhmj4zc"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tia4q0hnrviy"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5kx3k7ad3b4k"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sxdeu53sanms"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