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w1ry5qh348t" w:id="0"/>
      <w:bookmarkEnd w:id="0"/>
      <w:r w:rsidDel="00000000" w:rsidR="00000000" w:rsidRPr="00000000">
        <w:rPr>
          <w:rFonts w:ascii="Arial Unicode MS" w:cs="Arial Unicode MS" w:eastAsia="Arial Unicode MS" w:hAnsi="Arial Unicode MS"/>
          <w:b w:val="1"/>
          <w:bCs w:val="1"/>
          <w:sz w:val="44"/>
          <w:szCs w:val="44"/>
          <w:rtl w:val="0"/>
        </w:rPr>
        <w:t xml:space="preserve">ブランディング支援契約書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●●株式会社（以下「甲」という。）と、●●株式会社（以下「乙」という。）は、ブランディング支援業務の提供に関し、以下のとおり契約（以下「本契約」という。）を締結する。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2xvfm8tzhz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本契約は、乙が甲に対して提供するブランド戦略立案、ブランド価値向上施策の企画・実行支援等のブランディング支援業務について、その内容および条件を定めることを目的とする。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xiftdynqbqc"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（1）ブランド戦略の企画・立案</w:t>
        <w:br w:type="textWrapping"/>
        <w:t xml:space="preserve">（2）ブランドコンセプト・ブランドメッセージの策定</w:t>
        <w:br w:type="textWrapping"/>
        <w:t xml:space="preserve">（3）ターゲット分析および市場調査</w:t>
        <w:br w:type="textWrapping"/>
        <w:t xml:space="preserve">（4）ブランドガイドラインの作成支援</w:t>
        <w:br w:type="textWrapping"/>
        <w:t xml:space="preserve">（5）広告・プロモーション施策の企画支援</w:t>
        <w:br w:type="textWrapping"/>
        <w:t xml:space="preserve">（6）その他、甲乙協議により定める業務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本業務の詳細な内容、スケジュールおよび成果物は、別途書面または電磁的方法により定める。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y39avibuase"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乙は、善良なる管理者の注意義務をもって本業務を遂行する。</w:t>
        <w:br w:type="textWrapping"/>
        <w:t xml:space="preserve">2　乙は、本業務の全部または一部を第三者に再委託する場合、事前に甲の承諾を得るものとする。</w:t>
        <w:br w:type="textWrapping"/>
        <w:t xml:space="preserve">3　乙は、本業務の遂行にあたり、甲の指示および合理的な要請に従うものとする。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gwpm17sdpm3"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支払方法および支払期日は、別途合意する条件に従う。</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bsg8ft7ea0v" w:id="5"/>
      <w:bookmarkEnd w:id="5"/>
      <w:r w:rsidDel="00000000" w:rsidR="00000000" w:rsidRPr="00000000">
        <w:rPr>
          <w:rFonts w:ascii="Arial Unicode MS" w:cs="Arial Unicode MS" w:eastAsia="Arial Unicode MS" w:hAnsi="Arial Unicode MS"/>
          <w:b w:val="1"/>
          <w:bCs w:val="1"/>
          <w:sz w:val="34"/>
          <w:szCs w:val="34"/>
          <w:rtl w:val="0"/>
        </w:rPr>
        <w:t xml:space="preserve">第5条（成果物の取扱い）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本業務により作成された資料、デザイン、コンセプト、戦略文書等（以下「成果物」という。）の取扱いは本条に定める。</w:t>
        <w:br w:type="textWrapping"/>
        <w:t xml:space="preserve">2　成果物に関する著作権は、別途合意のない限り乙に帰属する。ただし、甲は自社の事業活動の範囲内で無償かつ非独占的に利用できる。</w:t>
        <w:br w:type="textWrapping"/>
        <w:t xml:space="preserve">3　成果物の改変、第三者提供、再利用については、甲乙協議の上決定する。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8i8pdi1jk4lr"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本業務の遂行過程において新たに生じた知的財産権の帰属は、別途協議により定める。</w:t>
        <w:br w:type="textWrapping"/>
        <w:t xml:space="preserve">2　甲または乙が従前から保有する知的財産権は、それぞれの当事者に帰属する。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nwzsvt6gyyk"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甲および乙は、本契約に関連して知り得た相手方の営業上、技術上その他一切の秘密情報を第三者に開示または漏洩してはならない。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cg1to3r8h87" w:id="8"/>
      <w:bookmarkEnd w:id="8"/>
      <w:r w:rsidDel="00000000" w:rsidR="00000000" w:rsidRPr="00000000">
        <w:rPr>
          <w:rFonts w:ascii="Arial Unicode MS" w:cs="Arial Unicode MS" w:eastAsia="Arial Unicode MS" w:hAnsi="Arial Unicode MS"/>
          <w:b w:val="1"/>
          <w:bCs w:val="1"/>
          <w:sz w:val="34"/>
          <w:szCs w:val="34"/>
          <w:rtl w:val="0"/>
        </w:rPr>
        <w:t xml:space="preserve">第8条（競業避止）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乙は、本契約期間中および終了後一定期間、甲のブランド戦略に重大な影響を与える競合企業への同種業務提供について、甲と協議のうえ対応するものとする。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9rbnjrxkfomh"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期間満了の1か月前までにいずれからも解約の申し出がない場合、自動更新されるものとする。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imsagv6g7k1"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（1）支払停止または支払不能</w:t>
        <w:br w:type="textWrapping"/>
        <w:t xml:space="preserve">（2）破産、民事再生等の申立て</w:t>
        <w:br w:type="textWrapping"/>
        <w:t xml:space="preserve">（3）重大な信用不安が生じた場合</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6hzphncwgn9"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甲および乙は、本契約に違反し相手方に損害を与えた場合、通常かつ直接の損害に限り賠償責任を負う。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1gbr0cwi2g7"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乙は、本業務により提供する助言・提案について、特定の成果や売上向上等を保証するものではない。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t5rok8t2tpl"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甲および乙は、反社会的勢力に該当しないことを保証し、関係を持たないことを確約する。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3zmrx26jk4kh"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auo0n8jwqjn"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