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kk43doa6v7d" w:id="0"/>
      <w:bookmarkEnd w:id="0"/>
      <w:r w:rsidDel="00000000" w:rsidR="00000000" w:rsidRPr="00000000">
        <w:rPr>
          <w:rFonts w:ascii="Arial Unicode MS" w:cs="Arial Unicode MS" w:eastAsia="Arial Unicode MS" w:hAnsi="Arial Unicode MS"/>
          <w:b w:val="1"/>
          <w:bCs w:val="1"/>
          <w:sz w:val="44"/>
          <w:szCs w:val="44"/>
          <w:rtl w:val="0"/>
        </w:rPr>
        <w:t xml:space="preserve">出産手当金申請代行契約書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●●株式会社（以下「甲」という。）と、●●（以下「乙」という。）は、出産手当金申請代行業務に関し、以下のとおり契約（以下「本契約」という。）を締結する。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3pvoxcs4lw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本契約は、乙が甲に対し、健康保険法に基づく出産手当金の申請手続の代行業務を提供するにあたり、必要な事項を定めることを目的とする。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pmqqo09r8k"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乙は、甲の依頼に基づき、以下の業務（以下「本業務」という。）を行う。</w:t>
        <w:br w:type="textWrapping"/>
        <w:t xml:space="preserve">（1）出産手当金申請に関する相談対応</w:t>
        <w:br w:type="textWrapping"/>
        <w:t xml:space="preserve">（2）申請書類の作成支援及び内容確認</w:t>
        <w:br w:type="textWrapping"/>
        <w:t xml:space="preserve">（3）関係書類の提出代行又は提出手続支援</w:t>
        <w:br w:type="textWrapping"/>
        <w:t xml:space="preserve">（4）行政機関等への照会対応（必要な範囲に限る）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乙は、本業務を善良なる管理者の注意をもって遂行する。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tkuis2218y9k" w:id="3"/>
      <w:bookmarkEnd w:id="3"/>
      <w:r w:rsidDel="00000000" w:rsidR="00000000" w:rsidRPr="00000000">
        <w:rPr>
          <w:rFonts w:ascii="Arial Unicode MS" w:cs="Arial Unicode MS" w:eastAsia="Arial Unicode MS" w:hAnsi="Arial Unicode MS"/>
          <w:b w:val="1"/>
          <w:bCs w:val="1"/>
          <w:rtl w:val="0"/>
        </w:rPr>
        <w:t xml:space="preserve">第3条（業務の範囲）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本業務は、出産手当金の申請手続の支援を目的とするものであり、受給の可否及び支給額を保証するものではない。</w:t>
        <w:br w:type="textWrapping"/>
        <w:t xml:space="preserve">2　乙は、法令により認められた範囲内で業務を行い、代理権が必要な行為については別途委任状の取得を要する。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1aeex4juf7vi"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本契約の有効期間は、契約締結日から出産手当金申請手続が完了する日までとする。ただし、双方の合意により延長することができる。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ku50amd263nc"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報酬の支払時期及び方法は、別途合意する。</w:t>
        <w:br w:type="textWrapping"/>
        <w:t xml:space="preserve">3　行政機関に支払う手数料等は、甲の負担とする。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eaupm0r11bcc" w:id="6"/>
      <w:bookmarkEnd w:id="6"/>
      <w:r w:rsidDel="00000000" w:rsidR="00000000" w:rsidRPr="00000000">
        <w:rPr>
          <w:rFonts w:ascii="Arial Unicode MS" w:cs="Arial Unicode MS" w:eastAsia="Arial Unicode MS" w:hAnsi="Arial Unicode MS"/>
          <w:b w:val="1"/>
          <w:bCs w:val="1"/>
          <w:rtl w:val="0"/>
        </w:rPr>
        <w:t xml:space="preserve">第6条（必要書類の提供）</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甲は、乙が本業務を遂行するために必要な情報及び書類を正確かつ速やかに提供する。</w:t>
        <w:br w:type="textWrapping"/>
        <w:t xml:space="preserve">2　甲が提供した情報に虚偽又は不備があった場合、それにより生じた不利益について乙は責任を負わない。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nzhardvlgki"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乙は、本業務に関連して取得した甲の個人情報を、申請手続の目的の範囲内で適切に取り扱う。</w:t>
        <w:br w:type="textWrapping"/>
        <w:t xml:space="preserve">2　乙は、個人情報を第三者に提供してはならない。ただし、法令に基づく場合及び業務遂行上必要な範囲を除く。</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m28ov1jb12ut"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乙は、本業務に関連して知り得た甲の秘密情報を第三者に漏えいしてはならない。本契約終了後も同様とする。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hiym9vjztto9"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乙は、本業務の全部又は一部を第三者に再委託する場合には、甲の事前承諾を得るものとする。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y20rum5aoyr"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乙は、行政機関の判断による不支給又は減額について責任を負わない。</w:t>
        <w:br w:type="textWrapping"/>
        <w:t xml:space="preserve">2　天災、法令改正、行政機関の運用変更その他乙の責に帰さない事由により業務が遅延した場合、乙は責任を負わない。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bdqybm9ldk8"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やむを得ない事情により契約を継続できない場合、双方協議の上、契約を終了できる。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3z7f844zafoe"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y88s23pe486"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甲及び乙は、自らが反社会的勢力に該当しないことを表明し保証する。</w:t>
        <w:br w:type="textWrapping"/>
        <w:t xml:space="preserve">2　違反した場合、相手方は催告なく契約を解除できる。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ljj6fvj0e4q1"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t7ybxv2x6gfk"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ovuo3ren2hno" w:id="16"/>
      <w:bookmarkEnd w:id="16"/>
      <w:r w:rsidDel="00000000" w:rsidR="00000000" w:rsidRPr="00000000">
        <w:rPr>
          <w:rFonts w:ascii="Arial Unicode MS" w:cs="Arial Unicode MS" w:eastAsia="Arial Unicode MS" w:hAnsi="Arial Unicode MS"/>
          <w:b w:val="1"/>
          <w:bCs w:val="1"/>
          <w:rtl w:val="0"/>
        </w:rPr>
        <w:t xml:space="preserve">第16条（免責文）</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一般的な参考ひな形として作成されたものであり、個別の事情に応じた法的助言を提供するものではない。実際の利用にあたっては、社会保険労務士、弁護士等の専門家に確認することを推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