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mfd6uwztwje" w:id="0"/>
      <w:bookmarkEnd w:id="0"/>
      <w:r w:rsidDel="00000000" w:rsidR="00000000" w:rsidRPr="00000000">
        <w:rPr>
          <w:rFonts w:ascii="Arial Unicode MS" w:cs="Arial Unicode MS" w:eastAsia="Arial Unicode MS" w:hAnsi="Arial Unicode MS"/>
          <w:b w:val="1"/>
          <w:bCs w:val="1"/>
          <w:sz w:val="44"/>
          <w:szCs w:val="44"/>
          <w:rtl w:val="0"/>
        </w:rPr>
        <w:t xml:space="preserve">働き方改革支援契約書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●●株式会社（以下「甲」という。）と●●株式会社（以下「乙」という。）は、甲が乙に対し提供する働き方改革支援業務に関し、以下のとおり契約（以下「本契約」という。）を締結する。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qy3tpyuipn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本契約は、甲が乙に対し、労働環境の改善、生産性向上及び法令遵守体制の強化を目的とした働き方改革支援業務を提供するにあたり、その内容及び条件を定めることを目的とする。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dy6kecbt7c3"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甲は乙に対し、以下の業務（以下「本業務」という。）を提供する。</w:t>
        <w:br w:type="textWrapping"/>
        <w:t xml:space="preserve">（1）労働時間管理体制の分析及び改善提案</w:t>
        <w:br w:type="textWrapping"/>
        <w:t xml:space="preserve">（2）就業規則その他社内規程の整備支援</w:t>
        <w:br w:type="textWrapping"/>
        <w:t xml:space="preserve">（3）長時間労働是正及び業務効率化の提案</w:t>
        <w:br w:type="textWrapping"/>
        <w:t xml:space="preserve">（4）人事制度・評価制度の見直し支援</w:t>
        <w:br w:type="textWrapping"/>
        <w:t xml:space="preserve">（5）従業員意識改革に関する研修・助言</w:t>
        <w:br w:type="textWrapping"/>
        <w:t xml:space="preserve">（6）その他前各号に付随する業務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本業務の詳細な内容、スケジュール及び成果物については、別途合意する業務仕様書に定める。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n6u9ww8b0k6"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いずれの当事者からも書面による解約の意思表示がない場合、同一条件でさらに1年間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t7ak7k5sy5a"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乙は甲に対し、本業務の対価として、月額●●円（消費税別）を支払う。</w:t>
        <w:br w:type="textWrapping"/>
        <w:t xml:space="preserve">2　支払期日は毎月末日締め翌月末日払いとし、甲指定の口座に振り込むものとする。</w:t>
        <w:br w:type="textWrapping"/>
        <w:t xml:space="preserve">3　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y2l7zjk2idd"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甲は、本業務の全部又は一部を第三者に再委託することができる。ただし、甲は当該第三者の行為について一切の責任を負うものとする。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6lhm61t9vu2" w:id="6"/>
      <w:bookmarkEnd w:id="6"/>
      <w:r w:rsidDel="00000000" w:rsidR="00000000" w:rsidRPr="00000000">
        <w:rPr>
          <w:rFonts w:ascii="Arial Unicode MS" w:cs="Arial Unicode MS" w:eastAsia="Arial Unicode MS" w:hAnsi="Arial Unicode MS"/>
          <w:b w:val="1"/>
          <w:bCs w:val="1"/>
          <w:rtl w:val="0"/>
        </w:rPr>
        <w:t xml:space="preserve">第6条（協力義務）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乙は、甲が本業務を遂行するために必要な資料、情報の提供及び関係者へのヒアリング機会の提供等、必要な協力を行うものとする。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2x614ivnetlp"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甲及び乙は、本契約に関連して知り得た相手方の営業上、技術上その他一切の秘密情報を第三者に開示又は漏えいしてはならない。</w:t>
        <w:br w:type="textWrapping"/>
        <w:t xml:space="preserve">2　前項の義務は、本契約終了後も●年間存続する。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723lw8unowb"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甲及び乙は、本業務の遂行に関連して取得する個人情報について、個人情報保護法その他関連法令を遵守し、適切に管理するものとする。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z39ipj8p0w4" w:id="9"/>
      <w:bookmarkEnd w:id="9"/>
      <w:r w:rsidDel="00000000" w:rsidR="00000000" w:rsidRPr="00000000">
        <w:rPr>
          <w:rFonts w:ascii="Arial Unicode MS" w:cs="Arial Unicode MS" w:eastAsia="Arial Unicode MS" w:hAnsi="Arial Unicode MS"/>
          <w:b w:val="1"/>
          <w:bCs w:val="1"/>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本業務により作成された資料、報告書等の成果物の著作権は、特段の合意がない限り甲に帰属する。</w:t>
        <w:br w:type="textWrapping"/>
        <w:t xml:space="preserve">2　乙は、自社内利用の範囲で成果物を使用することができる。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d3b3mpl59e0"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甲は、本業務の提供にあたり善良なる管理者の注意義務をもって遂行する。</w:t>
        <w:br w:type="textWrapping"/>
        <w:t xml:space="preserve">2　本業務は助言・支援を目的とするものであり、特定の成果又は法令適合性を保証するものではない。</w:t>
        <w:br w:type="textWrapping"/>
        <w:t xml:space="preserve">3　甲の責任は、乙が支払った直近6か月分の報酬総額を上限とする。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8kswlxfofeb"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甲又は乙は、相手方に重大な信用不安が生じた場合、催告なく解除できる。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ksh4dojkz0dh"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y5rgvbwmfh8"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m5dba297oo2"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天災地変、法令改正その他当事者の責に帰さない事由により本契約の履行が困難となった場合、当該当事者は責任を負わない。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1ub9udgczuhh"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本契約に定めのない事項又は疑義が生じた場合は、甲乙協議の上、誠意をもって解決する。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4o84b83bt0e"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ynl0yoh67cm9"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