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rbigisy40n2" w:id="0"/>
      <w:bookmarkEnd w:id="0"/>
      <w:r w:rsidDel="00000000" w:rsidR="00000000" w:rsidRPr="00000000">
        <w:rPr>
          <w:rFonts w:ascii="Arial Unicode MS" w:cs="Arial Unicode MS" w:eastAsia="Arial Unicode MS" w:hAnsi="Arial Unicode MS"/>
          <w:b w:val="1"/>
          <w:bCs w:val="1"/>
          <w:sz w:val="44"/>
          <w:szCs w:val="44"/>
          <w:rtl w:val="0"/>
        </w:rPr>
        <w:t xml:space="preserve">是正勧告対応支援契約書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労働基準監督署その他の行政機関からの是正勧告への対応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90fjcpdzic4"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本契約は、甲が受けた是正勧告その他これに準ずる行政指導への対応について、乙が専門的支援を行うことにより、甲の法令遵守体制の整備及び改善を図ることを目的とする。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ew58wqqam77"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乙は、甲に対し、次の業務（以下「本業務」という。）を行う。</w:t>
        <w:br w:type="textWrapping"/>
        <w:t xml:space="preserve">① 是正勧告内容の分析及び問題点の整理</w:t>
        <w:br w:type="textWrapping"/>
        <w:t xml:space="preserve">② 改善計画の策定支援</w:t>
        <w:br w:type="textWrapping"/>
        <w:t xml:space="preserve">③ 就業規則、労務管理体制の見直し支援</w:t>
        <w:br w:type="textWrapping"/>
        <w:t xml:space="preserve">④ 労働基準監督署等への報告書作成支援</w:t>
        <w:br w:type="textWrapping"/>
        <w:t xml:space="preserve">⑤ 面談・調査対応に関する助言</w:t>
        <w:br w:type="textWrapping"/>
        <w:t xml:space="preserve">⑥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本業務の具体的内容、範囲及び方法は、別途甲乙協議の上決定する。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jkjvb51qle6"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乙は、法令及び行政指導の趣旨に基づき、専門的知見をもって助言を行う。</w:t>
        <w:br w:type="textWrapping"/>
        <w:t xml:space="preserve">3　乙は、弁護士法その他の法令により制限される行為を行わない。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43oxvk89wacy" w:id="4"/>
      <w:bookmarkEnd w:id="4"/>
      <w:r w:rsidDel="00000000" w:rsidR="00000000" w:rsidRPr="00000000">
        <w:rPr>
          <w:rFonts w:ascii="Arial Unicode MS" w:cs="Arial Unicode MS" w:eastAsia="Arial Unicode MS" w:hAnsi="Arial Unicode MS"/>
          <w:b w:val="1"/>
          <w:bCs w:val="1"/>
          <w:rtl w:val="0"/>
        </w:rPr>
        <w:t xml:space="preserve">第4条（資料提供）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甲は、本業務遂行に必要な資料、情報を適時かつ正確に乙へ提供する。</w:t>
        <w:br w:type="textWrapping"/>
        <w:t xml:space="preserve">2　甲が提供した資料に虚偽又は不備があったことにより生じた損害について、乙は責任を負わない。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ia8dl4166zlh"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交通費、出張費その他実費が発生する場合は、甲がこれを負担する。</w:t>
        <w:br w:type="textWrapping"/>
        <w:t xml:space="preserve">3　報酬の支払時期及び方法は、別途合意による。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97tlqrel1eme"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乙は、本業務に関連して知り得た甲の情報を第三者に開示又は漏えいしてはならない。</w:t>
        <w:br w:type="textWrapping"/>
        <w:t xml:space="preserve">2　本条の義務は、本契約終了後も存続する。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e4gzj4xhpxwb"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1wfcd62voq26" w:id="8"/>
      <w:bookmarkEnd w:id="8"/>
      <w:r w:rsidDel="00000000" w:rsidR="00000000" w:rsidRPr="00000000">
        <w:rPr>
          <w:rFonts w:ascii="Arial Unicode MS" w:cs="Arial Unicode MS" w:eastAsia="Arial Unicode MS" w:hAnsi="Arial Unicode MS"/>
          <w:b w:val="1"/>
          <w:bCs w:val="1"/>
          <w:rtl w:val="0"/>
        </w:rPr>
        <w:t xml:space="preserve">第8条（成果物の取扱い）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本業務により作成された報告書、資料等（以下「成果物」という。）の著作権は、特段の定めがない限り甲に帰属する。</w:t>
        <w:br w:type="textWrapping"/>
        <w:t xml:space="preserve">2　乙は、自らの業務実績として成果物を匿名化した上で利用できる。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zuv13khb9en"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本契約の有効期間は、契約締結日から●か月間とする。ただし、期間満了前に双方の合意により延長できる。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8quou387woe"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やむを得ない事情がある場合、双方は協議の上、契約を中途解約できる。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3mww2dsaunr" w:id="11"/>
      <w:bookmarkEnd w:id="11"/>
      <w:r w:rsidDel="00000000" w:rsidR="00000000" w:rsidRPr="00000000">
        <w:rPr>
          <w:rFonts w:ascii="Arial Unicode MS" w:cs="Arial Unicode MS" w:eastAsia="Arial Unicode MS" w:hAnsi="Arial Unicode MS"/>
          <w:b w:val="1"/>
          <w:bCs w:val="1"/>
          <w:rtl w:val="0"/>
        </w:rPr>
        <w:t xml:space="preserve">第11条（責任の制限）</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乙は、本業務の結果について、行政機関の判断結果を保証するものではない。</w:t>
        <w:br w:type="textWrapping"/>
        <w:t xml:space="preserve">2　乙の責任は、故意又は重過失がある場合を除き、受領した報酬額を上限とする。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cu3gglus6gce"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甲及び乙は、本契約に違反し相手方に損害を与えた場合、直接かつ通常の損害に限り賠償責任を負う。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s7e7ezmvjufk"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甲及び乙は、自らが反社会的勢力に該当しないことを保証し、将来にわたり関与しないことを約する。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48bwkqfnj9dt"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46gr5owgrvf"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本契約に関する紛争については、甲の本店所在地を管轄する地方裁判所を専属的合意管轄とする。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代表者：</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