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uc87ntznnkk" w:id="0"/>
      <w:bookmarkEnd w:id="0"/>
      <w:r w:rsidDel="00000000" w:rsidR="00000000" w:rsidRPr="00000000">
        <w:rPr>
          <w:rFonts w:ascii="Arial Unicode MS" w:cs="Arial Unicode MS" w:eastAsia="Arial Unicode MS" w:hAnsi="Arial Unicode MS"/>
          <w:b w:val="1"/>
          <w:bCs w:val="1"/>
          <w:sz w:val="44"/>
          <w:szCs w:val="44"/>
          <w:rtl w:val="0"/>
        </w:rPr>
        <w:t xml:space="preserve">安全衛生体制構築契約書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●●株式会社（以下「甲」という。）と●●株式会社（以下「乙」という。）は、甲の職場における安全衛生体制の構築及び運用支援に関し、次のとおり契約（以下「本契約」という。）を締結する。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sxh64mizrk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本契約は、甲の事業場における労働者の安全及び健康の確保並びに労働災害の防止を目的として、乙が提供する安全衛生体制構築支援業務の内容及び条件を定めることを目的とする。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6gvpduur2ec"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乙は、本契約に基づき、以下の業務を行う。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安全衛生管理体制の現状調査及び分析</w:t>
        <w:br w:type="textWrapping"/>
        <w:t xml:space="preserve">2　安全衛生管理体制の設計及び構築支援</w:t>
        <w:br w:type="textWrapping"/>
        <w:t xml:space="preserve">3　安全衛生委員会の設置・運営支援</w:t>
        <w:br w:type="textWrapping"/>
        <w:t xml:space="preserve">4　就業規則及び安全衛生関連規程の整備支援</w:t>
        <w:br w:type="textWrapping"/>
        <w:t xml:space="preserve">5　労働災害防止に関する施策立案及び実施支援</w:t>
        <w:br w:type="textWrapping"/>
        <w:t xml:space="preserve">6　安全衛生教育・研修の企画及び実施支援</w:t>
        <w:br w:type="textWrapping"/>
        <w:t xml:space="preserve">7　リスクアセスメントの導入及び運用支援</w:t>
        <w:br w:type="textWrapping"/>
        <w:t xml:space="preserve">8　その他、前各号に付随する業務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fpg0fo82osn" w:id="3"/>
      <w:bookmarkEnd w:id="3"/>
      <w:r w:rsidDel="00000000" w:rsidR="00000000" w:rsidRPr="00000000">
        <w:rPr>
          <w:rFonts w:ascii="Arial Unicode MS" w:cs="Arial Unicode MS" w:eastAsia="Arial Unicode MS" w:hAnsi="Arial Unicode MS"/>
          <w:b w:val="1"/>
          <w:bCs w:val="1"/>
          <w:rtl w:val="0"/>
        </w:rPr>
        <w:t xml:space="preserve">第3条（業務の遂行方法）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乙は、専門的知識及び経験に基づき、善良な管理者の注意義務をもって本業務を遂行する。</w:t>
        <w:br w:type="textWrapping"/>
        <w:t xml:space="preserve">2　乙は、業務遂行にあたり、必要に応じて甲と協議し、その指示を受けるものとする。</w:t>
        <w:br w:type="textWrapping"/>
        <w:t xml:space="preserve">3　乙は、本業務の全部又は一部を第三者に再委託する場合、事前に甲の書面による承諾を得なければならない。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xoyssgvz1b7"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甲は、乙の業務遂行に必要な資料、情報及び設備を適切に提供する。</w:t>
        <w:br w:type="textWrapping"/>
        <w:t xml:space="preserve">2　甲は、乙からの合理的な指示及び要請に対し、誠実に対応するものとする。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jtq900cnhrld"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報酬の支払時期及び方法は、別途合意書により定める。</w:t>
        <w:br w:type="textWrapping"/>
        <w:t xml:space="preserve">3　乙の業務遂行に必要な実費は、甲乙協議の上、甲が負担することができる。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vl5cqv71oadj"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前項の義務は、本契約終了後も存続する。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61lf1xmobjc"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乙は、本業務の遂行にあたり取得した個人情報について、関連法令を遵守し、適切に管理しなければならない。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36uqk5fqpac"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本業務の遂行により作成された成果物の知的財産権は、別途合意のない限り甲に帰属する。</w:t>
        <w:br w:type="textWrapping"/>
        <w:t xml:space="preserve">2　乙は、成果物について著作者人格権を行使しないものとする。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ksxz26ucu0p" w:id="9"/>
      <w:bookmarkEnd w:id="9"/>
      <w:r w:rsidDel="00000000" w:rsidR="00000000" w:rsidRPr="00000000">
        <w:rPr>
          <w:rFonts w:ascii="Arial Unicode MS" w:cs="Arial Unicode MS" w:eastAsia="Arial Unicode MS" w:hAnsi="Arial Unicode MS"/>
          <w:b w:val="1"/>
          <w:bCs w:val="1"/>
          <w:rtl w:val="0"/>
        </w:rPr>
        <w:t xml:space="preserve">第9条（安全配慮義務の確認）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本契約は、甲の労働者に対する安全配慮義務を免除又は軽減するものではない。</w:t>
        <w:br w:type="textWrapping"/>
        <w:t xml:space="preserve">2　甲は、最終的な安全衛生管理責任を自ら負うものとする。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5edihymxd1"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乙は、本業務の遂行に関し、故意又は重過失がある場合を除き、損害賠償責任を負わない。</w:t>
        <w:br w:type="textWrapping"/>
        <w:t xml:space="preserve">2　乙の損害賠償責任は、当該契約に基づき受領した報酬額を上限とする。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g3pyhgdejp"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期間満了の1か月前までにいずれからも書面による意思表示がない場合、本契約は同一条件で更新される。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e7j6gxp55v9"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やむを得ない事由がある場合、甲乙は協議の上、本契約を中途解約することができる。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gg8vmz1dsf"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j8cksonlim65"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天災地変、法令の改廃その他当事者の責に帰さない事由により本契約の履行が困難となった場合、当該当事者は責任を負わない。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19mer7pwo2y"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vp9e9o3qr42c"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gwes2qq1n09"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本契約は2通作成し、甲乙各自記名押印の上、各1通を保有する。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