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7bdfloxrk8i" w:id="0"/>
      <w:bookmarkEnd w:id="0"/>
      <w:r w:rsidDel="00000000" w:rsidR="00000000" w:rsidRPr="00000000">
        <w:rPr>
          <w:rFonts w:ascii="Arial Unicode MS" w:cs="Arial Unicode MS" w:eastAsia="Arial Unicode MS" w:hAnsi="Arial Unicode MS"/>
          <w:b w:val="1"/>
          <w:bCs w:val="1"/>
          <w:sz w:val="44"/>
          <w:szCs w:val="44"/>
          <w:rtl w:val="0"/>
        </w:rPr>
        <w:t xml:space="preserve">業務範囲確認書（労務業務）</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社会保険労務士事務所（以下「乙」という。）は、乙が甲に提供する労務業務の範囲及び条件について、以下のとおり確認書（以下「本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ajebmp495e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本書は、乙が甲に対して提供する労務関連業務の範囲、責任分担及び取扱い条件を明確化し、業務遂行における認識の相違を防止することを目的とする。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h9qelpe63to" w:id="2"/>
      <w:bookmarkEnd w:id="2"/>
      <w:r w:rsidDel="00000000" w:rsidR="00000000" w:rsidRPr="00000000">
        <w:rPr>
          <w:rFonts w:ascii="Arial Unicode MS" w:cs="Arial Unicode MS" w:eastAsia="Arial Unicode MS" w:hAnsi="Arial Unicode MS"/>
          <w:b w:val="1"/>
          <w:bCs w:val="1"/>
          <w:rtl w:val="0"/>
        </w:rPr>
        <w:t xml:space="preserve">第2条（業務範囲）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乙が本書に基づき実施する業務（以下「本業務」という。）は、以下の範囲に限定される。</w:t>
        <w:br w:type="textWrapping"/>
        <w:t xml:space="preserve">（1）労働保険・社会保険に関する各種手続業務</w:t>
        <w:br w:type="textWrapping"/>
        <w:t xml:space="preserve">（2）入退社に伴う届出書類の作成及び提出代行</w:t>
        <w:br w:type="textWrapping"/>
        <w:t xml:space="preserve">（3）労務相談（法令解釈・運用に関する一般的助言）</w:t>
        <w:br w:type="textWrapping"/>
        <w:t xml:space="preserve">（4）給与計算に関する支援業務（必要に応じて別途契約）</w:t>
        <w:br w:type="textWrapping"/>
        <w:t xml:space="preserve">（5）就業規則その他社内規程の作成・改定に関する助言</w:t>
        <w:br w:type="textWrapping"/>
        <w:t xml:space="preserve">（6）行政官庁への届出・報告業務</w:t>
        <w:br w:type="textWrapping"/>
        <w:t xml:space="preserve">（7）その他甲乙間で書面により合意した業務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前項に定める業務の具体的内容、実施方法及び頻度は、別途個別契約又は業務指示書により定める。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uc1kfsot2k48" w:id="3"/>
      <w:bookmarkEnd w:id="3"/>
      <w:r w:rsidDel="00000000" w:rsidR="00000000" w:rsidRPr="00000000">
        <w:rPr>
          <w:rFonts w:ascii="Arial Unicode MS" w:cs="Arial Unicode MS" w:eastAsia="Arial Unicode MS" w:hAnsi="Arial Unicode MS"/>
          <w:b w:val="1"/>
          <w:bCs w:val="1"/>
          <w:rtl w:val="0"/>
        </w:rPr>
        <w:t xml:space="preserve">第3条（業務範囲外の事項）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以下の業務は、本書に基づく本業務には含まれない。</w:t>
        <w:br w:type="textWrapping"/>
        <w:t xml:space="preserve">（1）労働紛争に関する代理交渉、あっせん、訴訟対応</w:t>
        <w:br w:type="textWrapping"/>
        <w:t xml:space="preserve">（2）税務・法務・会計に関する専門的助言</w:t>
        <w:br w:type="textWrapping"/>
        <w:t xml:space="preserve">（3）助成金申請業務（別途契約がある場合を除く）</w:t>
        <w:br w:type="textWrapping"/>
        <w:t xml:space="preserve">（4）労働基準監督署等の調査立会対応（別途契約がある場合を除く）</w:t>
        <w:br w:type="textWrapping"/>
        <w:t xml:space="preserve">（5）その他専門的判断を要する業務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前項の業務を乙が実施する場合は、別途契約を締結するものとする。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u9sqvzsa6yla" w:id="4"/>
      <w:bookmarkEnd w:id="4"/>
      <w:r w:rsidDel="00000000" w:rsidR="00000000" w:rsidRPr="00000000">
        <w:rPr>
          <w:rFonts w:ascii="Arial Unicode MS" w:cs="Arial Unicode MS" w:eastAsia="Arial Unicode MS" w:hAnsi="Arial Unicode MS"/>
          <w:b w:val="1"/>
          <w:bCs w:val="1"/>
          <w:rtl w:val="0"/>
        </w:rPr>
        <w:t xml:space="preserve">第4条（資料提供義務）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甲は、本業務の遂行に必要な資料、情報及びデータを正確かつ適時に乙に提供するものとする。</w:t>
        <w:br w:type="textWrapping"/>
        <w:t xml:space="preserve">２　甲が提供した資料の不備、遅延又は誤りにより生じた損害について、乙は責任を負わない。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w3zp83f2wj12" w:id="5"/>
      <w:bookmarkEnd w:id="5"/>
      <w:r w:rsidDel="00000000" w:rsidR="00000000" w:rsidRPr="00000000">
        <w:rPr>
          <w:rFonts w:ascii="Arial Unicode MS" w:cs="Arial Unicode MS" w:eastAsia="Arial Unicode MS" w:hAnsi="Arial Unicode MS"/>
          <w:b w:val="1"/>
          <w:bCs w:val="1"/>
          <w:rtl w:val="0"/>
        </w:rPr>
        <w:t xml:space="preserve">第5条（業務遂行上の責任）</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乙は、善良なる管理者の注意をもって本業務を遂行する。</w:t>
        <w:br w:type="textWrapping"/>
        <w:t xml:space="preserve">２　乙は、提供された情報に基づき業務を行うものであり、その情報の真実性及び完全性について保証するものではない。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87l1dydg8nkv" w:id="6"/>
      <w:bookmarkEnd w:id="6"/>
      <w:r w:rsidDel="00000000" w:rsidR="00000000" w:rsidRPr="00000000">
        <w:rPr>
          <w:rFonts w:ascii="Arial Unicode MS" w:cs="Arial Unicode MS" w:eastAsia="Arial Unicode MS" w:hAnsi="Arial Unicode MS"/>
          <w:b w:val="1"/>
          <w:bCs w:val="1"/>
          <w:rtl w:val="0"/>
        </w:rPr>
        <w:t xml:space="preserve">第6条（外部専門家の利用）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乙は、本業務の遂行にあたり必要と認める場合、弁護士、税理士その他の専門家と連携することができる。この場合の費用は、甲の負担とする。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2klp9omriq4w"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甲及び乙は、本業務に関連して知り得た相手方の業務上その他一切の非公開情報について、第三者に開示又は漏えいしてはならない。ただし、法令に基づき開示が求められる場合はこの限りではない。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augmscx2668e" w:id="8"/>
      <w:bookmarkEnd w:id="8"/>
      <w:r w:rsidDel="00000000" w:rsidR="00000000" w:rsidRPr="00000000">
        <w:rPr>
          <w:rFonts w:ascii="Arial Unicode MS" w:cs="Arial Unicode MS" w:eastAsia="Arial Unicode MS" w:hAnsi="Arial Unicode MS"/>
          <w:b w:val="1"/>
          <w:bCs w:val="1"/>
          <w:rtl w:val="0"/>
        </w:rPr>
        <w:t xml:space="preserve">第8条（再委託）</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乙は、本業務の全部又は一部を、自己の責任において第三者に再委託することができる。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dbhcwz39u204" w:id="9"/>
      <w:bookmarkEnd w:id="9"/>
      <w:r w:rsidDel="00000000" w:rsidR="00000000" w:rsidRPr="00000000">
        <w:rPr>
          <w:rFonts w:ascii="Arial Unicode MS" w:cs="Arial Unicode MS" w:eastAsia="Arial Unicode MS" w:hAnsi="Arial Unicode MS"/>
          <w:b w:val="1"/>
          <w:bCs w:val="1"/>
          <w:rtl w:val="0"/>
        </w:rPr>
        <w:t xml:space="preserve">第9条（報酬）</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本業務に関する報酬、支払方法及び支払時期については、別途締結する契約書又は合意書に定める。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3qi1l08zjn25"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本書の有効期間は、●●年●月●日から●●年●月●日までとする。ただし、期間満了の1か月前までにいずれからも書面による解約の意思表示がない場合は、同一条件にて自動更新されるものとする。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osomokkdxtd2" w:id="11"/>
      <w:bookmarkEnd w:id="11"/>
      <w:r w:rsidDel="00000000" w:rsidR="00000000" w:rsidRPr="00000000">
        <w:rPr>
          <w:rFonts w:ascii="Arial Unicode MS" w:cs="Arial Unicode MS" w:eastAsia="Arial Unicode MS" w:hAnsi="Arial Unicode MS"/>
          <w:b w:val="1"/>
          <w:bCs w:val="1"/>
          <w:rtl w:val="0"/>
        </w:rPr>
        <w:t xml:space="preserve">第11条（契約の解除）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甲又は乙は、相手方が本書に違反し、相当期間を定めて是正を求めたにもかかわらず改善されない場合、本書を解除することができる。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a6t5l32fzu7u"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本書に違反し、相手方に損害を与えた場合は、当該当事者はその損害を賠償する責任を負う。ただし、乙の責任は、当該業務に関して受領した報酬の範囲を上限とする。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lvajro23wov"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乙は、本業務に基づく助言又は対応について、法令改正、行政解釈の変更その他の事情により結果が変動する可能性があることを前提とし、その結果について保証を行うものではない。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6ckgteqdjy4n"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本書に定めのない事項又は解釈に疑義が生じた場合は、甲乙誠意をもって協議し解決する。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wmw5z9ju84bp" w:id="15"/>
      <w:bookmarkEnd w:id="15"/>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本書に関する紛争については、乙の所在地を管轄する地方裁判所を第一審の専属的合意管轄裁判所とする。</w:t>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s10la1gac1cf" w:id="16"/>
      <w:bookmarkEnd w:id="16"/>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本書締結の証として、本書2通を作成し、甲乙記名押印の上、各自1通を保有する。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事務所名：</w:t>
        <w:br w:type="textWrapping"/>
        <w:t xml:space="preserve">代表者名：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