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7xo4l0wr8w2h" w:id="0"/>
      <w:bookmarkEnd w:id="0"/>
      <w:r w:rsidDel="00000000" w:rsidR="00000000" w:rsidRPr="00000000">
        <w:rPr>
          <w:rFonts w:ascii="Arial Unicode MS" w:cs="Arial Unicode MS" w:eastAsia="Arial Unicode MS" w:hAnsi="Arial Unicode MS"/>
          <w:b w:val="1"/>
          <w:bCs w:val="1"/>
          <w:sz w:val="44"/>
          <w:szCs w:val="44"/>
          <w:rtl w:val="0"/>
        </w:rPr>
        <w:t xml:space="preserve">安全対策・危機管理マニュアル遵守覚書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●●株式会社（以下「甲」という。）と●●株式会社（以下「乙」という。）は、業務遂行における安全確保及び危機管理体制の徹底に関し、以下のとおり覚書（以下「本覚書」という。）を締結する。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psiwqaazzbfb"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は、甲乙間で実施される業務において、安全対策及び危機管理体制の確保・維持・強化を図ることを目的とし、事故・災害・情報漏えいその他のリスクを未然に防止するとともに、万一発生した場合の迅速かつ適切な対応を定めるものであ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6gfzbmrj5f8v" w:id="2"/>
      <w:bookmarkEnd w:id="2"/>
      <w:r w:rsidDel="00000000" w:rsidR="00000000" w:rsidRPr="00000000">
        <w:rPr>
          <w:rFonts w:ascii="Arial Unicode MS" w:cs="Arial Unicode MS" w:eastAsia="Arial Unicode MS" w:hAnsi="Arial Unicode MS"/>
          <w:b w:val="1"/>
          <w:bCs w:val="1"/>
          <w:rtl w:val="0"/>
        </w:rPr>
        <w:t xml:space="preserve">第2条（適用範囲）</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本覚書は、甲乙間で締結される契約に基づき乙が遂行するすべての業務に適用されるものとし、業務の性質上必要な範囲で、乙の役員、従業員、再委託先等にも適用される。</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rPr>
      </w:pPr>
      <w:bookmarkStart w:colFirst="0" w:colLast="0" w:name="_xt19yfc3waw6" w:id="3"/>
      <w:bookmarkEnd w:id="3"/>
      <w:r w:rsidDel="00000000" w:rsidR="00000000" w:rsidRPr="00000000">
        <w:rPr>
          <w:rFonts w:ascii="Arial Unicode MS" w:cs="Arial Unicode MS" w:eastAsia="Arial Unicode MS" w:hAnsi="Arial Unicode MS"/>
          <w:b w:val="1"/>
          <w:bCs w:val="1"/>
          <w:rtl w:val="0"/>
        </w:rPr>
        <w:t xml:space="preserve">第3条（安全対策の遵守義務）</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乙は、甲が定める安全対策マニュアル、業務手順書、社内規程その他関連資料（以下「安全対策マニュアル等」という。）を遵守しなければならない。</w:t>
        <w:br w:type="textWrapping"/>
        <w:t xml:space="preserve">2　乙は、安全対策マニュアル等の内容を十分に理解し、必要な教育・周知を自社の関係者に対して実施するものとする。</w:t>
        <w:br w:type="textWrapping"/>
        <w:t xml:space="preserve">3　乙は、安全対策の実施状況について、甲から報告を求められた場合には速やかにこれに応じるものとする。</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rPr>
      </w:pPr>
      <w:bookmarkStart w:colFirst="0" w:colLast="0" w:name="_bsgd762ev8pn" w:id="4"/>
      <w:bookmarkEnd w:id="4"/>
      <w:r w:rsidDel="00000000" w:rsidR="00000000" w:rsidRPr="00000000">
        <w:rPr>
          <w:rFonts w:ascii="Arial Unicode MS" w:cs="Arial Unicode MS" w:eastAsia="Arial Unicode MS" w:hAnsi="Arial Unicode MS"/>
          <w:b w:val="1"/>
          <w:bCs w:val="1"/>
          <w:rtl w:val="0"/>
        </w:rPr>
        <w:t xml:space="preserve">第4条（危機管理体制の整備）</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乙は、事故・災害・情報漏えい・不正アクセスその他のリスクに対応するため、必要な危機管理体制を整備しなければならない。</w:t>
        <w:br w:type="textWrapping"/>
        <w:t xml:space="preserve">2　乙は、緊急時の連絡体制、対応手順及び責任者を明確にし、常時対応可能な状態を維持するものとする。</w:t>
        <w:br w:type="textWrapping"/>
        <w:t xml:space="preserve">3　乙は、重大事故の発生を想定した訓練・演習を適宜実施するよう努めるものとする。</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vjk4f6diu3iw" w:id="5"/>
      <w:bookmarkEnd w:id="5"/>
      <w:r w:rsidDel="00000000" w:rsidR="00000000" w:rsidRPr="00000000">
        <w:rPr>
          <w:rFonts w:ascii="Arial Unicode MS" w:cs="Arial Unicode MS" w:eastAsia="Arial Unicode MS" w:hAnsi="Arial Unicode MS"/>
          <w:b w:val="1"/>
          <w:bCs w:val="1"/>
          <w:rtl w:val="0"/>
        </w:rPr>
        <w:t xml:space="preserve">第5条（事故・異常時の報告義務）</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乙は、業務に関連して事故、異常、又はそのおそれが発生した場合には、直ちに甲に報告しなければならない。</w:t>
        <w:br w:type="textWrapping"/>
        <w:t xml:space="preserve">2　前項の報告には、発生日時、発生場所、状況、原因、被害の内容及び今後の対応方針を含めるものとする。</w:t>
        <w:br w:type="textWrapping"/>
        <w:t xml:space="preserve">3　乙は、甲の指示に従い、被害拡大防止及び再発防止措置を速やかに講じるものとする。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lpx3vlwskrr2" w:id="6"/>
      <w:bookmarkEnd w:id="6"/>
      <w:r w:rsidDel="00000000" w:rsidR="00000000" w:rsidRPr="00000000">
        <w:rPr>
          <w:rFonts w:ascii="Arial Unicode MS" w:cs="Arial Unicode MS" w:eastAsia="Arial Unicode MS" w:hAnsi="Arial Unicode MS"/>
          <w:b w:val="1"/>
          <w:bCs w:val="1"/>
          <w:rtl w:val="0"/>
        </w:rPr>
        <w:t xml:space="preserve">第6条（再委託先の管理）</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乙が業務の全部又は一部を第三者に再委託する場合には、事前に甲の承諾を得なければならない。</w:t>
        <w:br w:type="textWrapping"/>
        <w:t xml:space="preserve">2　乙は、再委託先に対して本覚書と同等の安全対策及び危機管理義務を課すものとする。</w:t>
        <w:br w:type="textWrapping"/>
        <w:t xml:space="preserve">3　乙は、再委託先の行為について一切の責任を負う。</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wxe3x1es0ptj" w:id="7"/>
      <w:bookmarkEnd w:id="7"/>
      <w:r w:rsidDel="00000000" w:rsidR="00000000" w:rsidRPr="00000000">
        <w:rPr>
          <w:rFonts w:ascii="Arial Unicode MS" w:cs="Arial Unicode MS" w:eastAsia="Arial Unicode MS" w:hAnsi="Arial Unicode MS"/>
          <w:b w:val="1"/>
          <w:bCs w:val="1"/>
          <w:rtl w:val="0"/>
        </w:rPr>
        <w:t xml:space="preserve">第7条（立入調査・監査）</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甲は、乙の安全対策及び危機管理体制の実施状況について、必要に応じて立入調査又は監査を行うことができる。</w:t>
        <w:br w:type="textWrapping"/>
        <w:t xml:space="preserve">2　乙は、前項の調査・監査に協力し、必要な資料の提出及び説明を行うものとする。</w:t>
        <w:br w:type="textWrapping"/>
        <w:t xml:space="preserve">3　甲は、改善が必要と判断した場合、乙に対して是正措置を求めることができる。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pxxgcesu3yht" w:id="8"/>
      <w:bookmarkEnd w:id="8"/>
      <w:r w:rsidDel="00000000" w:rsidR="00000000" w:rsidRPr="00000000">
        <w:rPr>
          <w:rFonts w:ascii="Arial Unicode MS" w:cs="Arial Unicode MS" w:eastAsia="Arial Unicode MS" w:hAnsi="Arial Unicode MS"/>
          <w:b w:val="1"/>
          <w:bCs w:val="1"/>
          <w:rtl w:val="0"/>
        </w:rPr>
        <w:t xml:space="preserve">第8条（損害賠償）</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乙が本覚書に違反し、又は安全対策若しくは危機管理義務を怠ったことにより甲又は第三者に損害が生じた場合、乙はその一切の損害を賠償する責任を負う。</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utw0iif5l6dv" w:id="9"/>
      <w:bookmarkEnd w:id="9"/>
      <w:r w:rsidDel="00000000" w:rsidR="00000000" w:rsidRPr="00000000">
        <w:rPr>
          <w:rFonts w:ascii="Arial Unicode MS" w:cs="Arial Unicode MS" w:eastAsia="Arial Unicode MS" w:hAnsi="Arial Unicode MS"/>
          <w:b w:val="1"/>
          <w:bCs w:val="1"/>
          <w:rtl w:val="0"/>
        </w:rPr>
        <w:t xml:space="preserve">第9条（契約解除）</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甲は、乙が本覚書に重大な違反をした場合、催告なくして関連契約の全部又は一部を解除することができる。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dj17s262o2uv" w:id="10"/>
      <w:bookmarkEnd w:id="10"/>
      <w:r w:rsidDel="00000000" w:rsidR="00000000" w:rsidRPr="00000000">
        <w:rPr>
          <w:rFonts w:ascii="Arial Unicode MS" w:cs="Arial Unicode MS" w:eastAsia="Arial Unicode MS" w:hAnsi="Arial Unicode MS"/>
          <w:b w:val="1"/>
          <w:bCs w:val="1"/>
          <w:rtl w:val="0"/>
        </w:rPr>
        <w:t xml:space="preserve">第10条（有効期間）</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本覚書は、締結日より効力を生じ、甲乙間の関連契約が終了するまで有効とする。ただし、必要な条項については終了後も存続するものとする。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uel93xsjt9jl" w:id="11"/>
      <w:bookmarkEnd w:id="11"/>
      <w:r w:rsidDel="00000000" w:rsidR="00000000" w:rsidRPr="00000000">
        <w:rPr>
          <w:rFonts w:ascii="Arial Unicode MS" w:cs="Arial Unicode MS" w:eastAsia="Arial Unicode MS" w:hAnsi="Arial Unicode MS"/>
          <w:b w:val="1"/>
          <w:bCs w:val="1"/>
          <w:rtl w:val="0"/>
        </w:rPr>
        <w:t xml:space="preserve">第11条（協議事項）</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本覚書に定めのない事項又は解釈に疑義が生じた場合は、甲乙誠意をもって協議し、解決するものとする。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enbzcvkdvgrb" w:id="12"/>
      <w:bookmarkEnd w:id="12"/>
      <w:r w:rsidDel="00000000" w:rsidR="00000000" w:rsidRPr="00000000">
        <w:rPr>
          <w:rFonts w:ascii="Arial Unicode MS" w:cs="Arial Unicode MS" w:eastAsia="Arial Unicode MS" w:hAnsi="Arial Unicode MS"/>
          <w:b w:val="1"/>
          <w:bCs w:val="1"/>
          <w:rtl w:val="0"/>
        </w:rPr>
        <w:t xml:space="preserve">第12条（管轄）</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本覚書に関する紛争については、甲の本店所在地を管轄する地方裁判所を第一審の専属的合意管轄裁判所とする。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本覚書締結の証として、本書二通を作成し、甲乙記名押印の上、各自一通を保有する。</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　　　　　　　　　　　</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　　　　　　　　　　　</w:t>
      </w:r>
    </w:p>
    <w:p w:rsidR="00000000" w:rsidDel="00000000" w:rsidP="00000000" w:rsidRDefault="00000000" w:rsidRPr="00000000" w14:paraId="0000003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