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t5skqwb5l8s" w:id="0"/>
      <w:bookmarkEnd w:id="0"/>
      <w:r w:rsidDel="00000000" w:rsidR="00000000" w:rsidRPr="00000000">
        <w:rPr>
          <w:rFonts w:ascii="Arial Unicode MS" w:cs="Arial Unicode MS" w:eastAsia="Arial Unicode MS" w:hAnsi="Arial Unicode MS"/>
          <w:b w:val="1"/>
          <w:bCs w:val="1"/>
          <w:sz w:val="44"/>
          <w:szCs w:val="44"/>
          <w:rtl w:val="0"/>
        </w:rPr>
        <w:t xml:space="preserve">衛生管理業務委託契約書（イベント会場）</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●●株式会社（以下「甲」という。）と、●●株式会社（以下「乙」という。）は、イベント会場における衛生管理業務の委託に関し、以下のとおり契約（以下「本契約」という。）を締結する。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jk2266xsxhp"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本契約は、甲が主催又は管理するイベント会場において、安全かつ衛生的な環境を維持するため、乙に対し衛生管理業務を委託し、その条件を定めることを目的とする。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oo0x4g1fp5r"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乙は、次の各号に掲げる業務（以下「本業務」という。）を実施する。</w:t>
        <w:br w:type="textWrapping"/>
        <w:t xml:space="preserve">（1）会場内外の清掃及び消毒作業</w:t>
        <w:br w:type="textWrapping"/>
        <w:t xml:space="preserve">（2）ゴミの分別・回収及び処理対応</w:t>
        <w:br w:type="textWrapping"/>
        <w:t xml:space="preserve">（3）トイレ、手洗い場等の衛生維持管理</w:t>
        <w:br w:type="textWrapping"/>
        <w:t xml:space="preserve">（4）感染症対策に関する衛生措置の実施</w:t>
        <w:br w:type="textWrapping"/>
        <w:t xml:space="preserve">（5）衛生資材（消毒液、マスク等）の補充・管理</w:t>
        <w:br w:type="textWrapping"/>
        <w:t xml:space="preserve">（6）その他、甲乙協議のうえ定める衛生管理業務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本業務の詳細な仕様、実施時間及び人員配置は、別途仕様書に定める。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2x6r5wqsftbn" w:id="3"/>
      <w:bookmarkEnd w:id="3"/>
      <w:r w:rsidDel="00000000" w:rsidR="00000000" w:rsidRPr="00000000">
        <w:rPr>
          <w:rFonts w:ascii="Arial Unicode MS" w:cs="Arial Unicode MS" w:eastAsia="Arial Unicode MS" w:hAnsi="Arial Unicode MS"/>
          <w:b w:val="1"/>
          <w:bCs w:val="1"/>
          <w:rtl w:val="0"/>
        </w:rPr>
        <w:t xml:space="preserve">第3条（業務実施体制）</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乙は、本業務を遂行するにあたり、必要な人員及び管理責任者を配置する。</w:t>
        <w:br w:type="textWrapping"/>
        <w:t xml:space="preserve">2　乙は、従業員に対し十分な教育及び安全衛生指導を行うものとする。</w:t>
        <w:br w:type="textWrapping"/>
        <w:t xml:space="preserve">3　乙は、本業務の一部を第三者に再委託する場合、事前に甲の書面承諾を得なければならない。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8swps8jr0u" w:id="4"/>
      <w:bookmarkEnd w:id="4"/>
      <w:r w:rsidDel="00000000" w:rsidR="00000000" w:rsidRPr="00000000">
        <w:rPr>
          <w:rFonts w:ascii="Arial Unicode MS" w:cs="Arial Unicode MS" w:eastAsia="Arial Unicode MS" w:hAnsi="Arial Unicode MS"/>
          <w:b w:val="1"/>
          <w:bCs w:val="1"/>
          <w:rtl w:val="0"/>
        </w:rPr>
        <w:t xml:space="preserve">第4条（遵守事項）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乙は、本業務の遂行にあたり、以下の事項を遵守する。</w:t>
        <w:br w:type="textWrapping"/>
        <w:t xml:space="preserve">（1）関係法令（労働安全衛生法、感染症法等）</w:t>
        <w:br w:type="textWrapping"/>
        <w:t xml:space="preserve">（2）会場規則及び甲の指示</w:t>
        <w:br w:type="textWrapping"/>
        <w:t xml:space="preserve">（3）安全管理及び事故防止措置</w:t>
        <w:br w:type="textWrapping"/>
        <w:t xml:space="preserve">（4）来場者及び関係者への配慮</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qly1byqcanv" w:id="5"/>
      <w:bookmarkEnd w:id="5"/>
      <w:r w:rsidDel="00000000" w:rsidR="00000000" w:rsidRPr="00000000">
        <w:rPr>
          <w:rFonts w:ascii="Arial Unicode MS" w:cs="Arial Unicode MS" w:eastAsia="Arial Unicode MS" w:hAnsi="Arial Unicode MS"/>
          <w:b w:val="1"/>
          <w:bCs w:val="1"/>
          <w:rtl w:val="0"/>
        </w:rPr>
        <w:t xml:space="preserve">第5条（報酬及び支払方法）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支払方法及び支払期限は、別途定める請求条件に従う。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7ed98j2lg99a" w:id="6"/>
      <w:bookmarkEnd w:id="6"/>
      <w:r w:rsidDel="00000000" w:rsidR="00000000" w:rsidRPr="00000000">
        <w:rPr>
          <w:rFonts w:ascii="Arial Unicode MS" w:cs="Arial Unicode MS" w:eastAsia="Arial Unicode MS" w:hAnsi="Arial Unicode MS"/>
          <w:b w:val="1"/>
          <w:bCs w:val="1"/>
          <w:rtl w:val="0"/>
        </w:rPr>
        <w:t xml:space="preserve">第6条（備品及び資材）</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本業務に必要な機材及び資材は、原則として乙が準備する。</w:t>
        <w:br w:type="textWrapping"/>
        <w:t xml:space="preserve">2　甲が指定する資材を使用する場合、その条件は別途定める。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t64xi2rrdvdd" w:id="7"/>
      <w:bookmarkEnd w:id="7"/>
      <w:r w:rsidDel="00000000" w:rsidR="00000000" w:rsidRPr="00000000">
        <w:rPr>
          <w:rFonts w:ascii="Arial Unicode MS" w:cs="Arial Unicode MS" w:eastAsia="Arial Unicode MS" w:hAnsi="Arial Unicode MS"/>
          <w:b w:val="1"/>
          <w:bCs w:val="1"/>
          <w:rtl w:val="0"/>
        </w:rPr>
        <w:t xml:space="preserve">第7条（安全管理及び事故対応）</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乙は、本業務に伴う事故を未然に防止するため、必要な安全対策を講じる。</w:t>
        <w:br w:type="textWrapping"/>
        <w:t xml:space="preserve">2　事故が発生した場合、乙は直ちに甲に報告し、適切な対応を行う。</w:t>
        <w:br w:type="textWrapping"/>
        <w:t xml:space="preserve">3　乙の責に帰すべき事由により損害が発生した場合、乙はこれを賠償する責任を負う。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n19oihianfwx" w:id="8"/>
      <w:bookmarkEnd w:id="8"/>
      <w:r w:rsidDel="00000000" w:rsidR="00000000" w:rsidRPr="00000000">
        <w:rPr>
          <w:rFonts w:ascii="Arial Unicode MS" w:cs="Arial Unicode MS" w:eastAsia="Arial Unicode MS" w:hAnsi="Arial Unicode MS"/>
          <w:b w:val="1"/>
          <w:bCs w:val="1"/>
          <w:rtl w:val="0"/>
        </w:rPr>
        <w:t xml:space="preserve">第8条（感染症対策）</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乙は、感染症の拡大防止のため、最新のガイドラインに基づいた衛生管理を実施する。</w:t>
        <w:br w:type="textWrapping"/>
        <w:t xml:space="preserve">2　甲は、必要に応じて追加の感染症対策を指示できる。</w:t>
        <w:br w:type="textWrapping"/>
        <w:t xml:space="preserve">3　感染症の発生又は疑いがある場合、乙は速やかに甲に報告する。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k1dmfts7ksdz"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乙は、本業務に関連して知り得た甲の業務情報、来場者情報その他一切の情報を第三者に漏えいしてはならない。</w:t>
        <w:br w:type="textWrapping"/>
        <w:t xml:space="preserve">本条の義務は、本契約終了後も存続する。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u28526lutv9e"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乙は、本業務に関連して個人情報を取り扱う場合、法令及び甲の指示に従い、適切に管理するものとする。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6mgig6q6f0xd"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srzte8h0peb9"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次の各号に該当する場合、催告なく解除できる。</w:t>
        <w:br w:type="textWrapping"/>
        <w:t xml:space="preserve">（1）重大な契約違反</w:t>
        <w:br w:type="textWrapping"/>
        <w:t xml:space="preserve">（2）信用不安の発生</w:t>
        <w:br w:type="textWrapping"/>
        <w:t xml:space="preserve">（3）反社会的勢力との関与</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sy29rew42cc1" w:id="13"/>
      <w:bookmarkEnd w:id="13"/>
      <w:r w:rsidDel="00000000" w:rsidR="00000000" w:rsidRPr="00000000">
        <w:rPr>
          <w:rFonts w:ascii="Arial Unicode MS" w:cs="Arial Unicode MS" w:eastAsia="Arial Unicode MS" w:hAnsi="Arial Unicode MS"/>
          <w:b w:val="1"/>
          <w:bCs w:val="1"/>
          <w:rtl w:val="0"/>
        </w:rPr>
        <w:t xml:space="preserve">第13条（不可抗力）</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天災地変、感染症拡大、行政指示等の不可抗力により本業務の実施が困難となった場合、甲乙は協議のうえ対応を決定する。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qmh10jt9mzyi"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本契約に違反し、相手方に損害を与えた場合、当該当事者はその損害を賠償する責任を負う。</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eh1hix6o072e"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hw08wte3y4vb"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