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oxacm6xkbg1" w:id="0"/>
      <w:bookmarkEnd w:id="0"/>
      <w:r w:rsidDel="00000000" w:rsidR="00000000" w:rsidRPr="00000000">
        <w:rPr>
          <w:rFonts w:ascii="Arial Unicode MS" w:cs="Arial Unicode MS" w:eastAsia="Arial Unicode MS" w:hAnsi="Arial Unicode MS"/>
          <w:b w:val="1"/>
          <w:bCs w:val="1"/>
          <w:sz w:val="44"/>
          <w:szCs w:val="44"/>
          <w:rtl w:val="0"/>
        </w:rPr>
        <w:t xml:space="preserve">AI導入コンサルティング契約書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●●株式会社（以下「甲」という。）と●●株式会社（以下「乙」という。）は、AI導入に関するコンサルティング業務について、次のとおり契約（以下「本契約」という。）を締結する。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67sfedk88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本契約は、甲が乙に対し、AI技術の導入及び活用に関するコンサルティング業務を委託し、乙がこれを受託することに関し、必要な事項を定めることを目的とする。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wu7xq4lzlgi"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乙は、甲に対し、以下の業務（以下「本業務」という。）を行う。</w:t>
        <w:br w:type="textWrapping"/>
        <w:t xml:space="preserve">（1）AI導入に関する現状分析及び課題抽出</w:t>
        <w:br w:type="textWrapping"/>
        <w:t xml:space="preserve">（2）AI導入戦略の立案及び提案</w:t>
        <w:br w:type="textWrapping"/>
        <w:t xml:space="preserve">（3）AIツール・システムの選定支援</w:t>
        <w:br w:type="textWrapping"/>
        <w:t xml:space="preserve">（4）業務プロセス改善の提案</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本業務の具体的内容、範囲及びスケジュールは、別途書面又は電磁的方法により定める。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5a35v4tjwza"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ただし、期間満了の1か月前までにいずれの当事者からも書面による解約の意思表示がない場合、同一条件で自動更新する。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tr992nvb7ib"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甲は乙に対し、本業務の対価として、別途合意するコンサルティング報酬を支払う。</w:t>
        <w:br w:type="textWrapping"/>
        <w:t xml:space="preserve">2　支払方法及び支払期日は、別途合意する。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de42w8r4l66"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obt7x23sqxg"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甲及び乙は、本契約に関連して知り得た相手方の営業上、技術上その他一切の情報を秘密として保持し、第三者に開示又は漏えいしてはならない。</w:t>
        <w:br w:type="textWrapping"/>
        <w:t xml:space="preserve">2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rpcwvd4id9q"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乙は、本業務の遂行にあたり個人情報を取り扱う場合、個人情報保護法その他関係法令を遵守し、適切に管理しなければならない。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3nmiib9jpwn"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本業務により作成された資料、レポートその他成果物の著作権は、別途合意のない限り甲に帰属する。</w:t>
        <w:br w:type="textWrapping"/>
        <w:t xml:space="preserve">2　乙は、自己のノウハウ、技術、手法について引き続き利用できるものとする。</w:t>
        <w:br w:type="textWrapping"/>
        <w:t xml:space="preserve">3　甲は、乙の事前承諾なく成果物の再配布又は第三者提供を行う場合には、別途協議する。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7qwnl6zfka6" w:id="9"/>
      <w:bookmarkEnd w:id="9"/>
      <w:r w:rsidDel="00000000" w:rsidR="00000000" w:rsidRPr="00000000">
        <w:rPr>
          <w:rFonts w:ascii="Arial Unicode MS" w:cs="Arial Unicode MS" w:eastAsia="Arial Unicode MS" w:hAnsi="Arial Unicode MS"/>
          <w:b w:val="1"/>
          <w:bCs w:val="1"/>
          <w:rtl w:val="0"/>
        </w:rPr>
        <w:t xml:space="preserve">第9条（成果保証の否認）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乙は、本業務の結果として、特定の成果、売上向上、業務改善効果等を保証するものではない。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73v7efafe4u" w:id="10"/>
      <w:bookmarkEnd w:id="10"/>
      <w:r w:rsidDel="00000000" w:rsidR="00000000" w:rsidRPr="00000000">
        <w:rPr>
          <w:rFonts w:ascii="Arial Unicode MS" w:cs="Arial Unicode MS" w:eastAsia="Arial Unicode MS" w:hAnsi="Arial Unicode MS"/>
          <w:b w:val="1"/>
          <w:bCs w:val="1"/>
          <w:rtl w:val="0"/>
        </w:rPr>
        <w:t xml:space="preserve">第10条（責任の制限）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乙の損害賠償責任は、故意又は重過失による場合を除き、本契約に基づき甲が支払った報酬総額を上限とする。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gb9c6vxxu5"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甲又は乙は、相手方が本契約に違反し、相当期間を定めて是正を求めたにもかかわらず改善されない場合、本契約の全部又は一部を解除できる。</w:t>
        <w:br w:type="textWrapping"/>
        <w:t xml:space="preserve">2　次の各号のいずれかに該当する場合、催告を要せず直ちに解除できる。</w:t>
        <w:br w:type="textWrapping"/>
        <w:t xml:space="preserve">（1）支払停止又は破産手続開始の申立てがあった場合</w:t>
        <w:br w:type="textWrapping"/>
        <w:t xml:space="preserve">（2）重大な信用不安が生じた場合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2k128a6g925c"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甲及び乙は、自ら及び関係者が反社会的勢力に該当しないことを保証し、将来にわたっても該当しないことを表明する。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fh4cpgmab44" w:id="13"/>
      <w:bookmarkEnd w:id="13"/>
      <w:r w:rsidDel="00000000" w:rsidR="00000000" w:rsidRPr="00000000">
        <w:rPr>
          <w:rFonts w:ascii="Arial Unicode MS" w:cs="Arial Unicode MS" w:eastAsia="Arial Unicode MS" w:hAnsi="Arial Unicode MS"/>
          <w:b w:val="1"/>
          <w:bCs w:val="1"/>
          <w:rtl w:val="0"/>
        </w:rPr>
        <w:t xml:space="preserve">第13条（契約終了後の措置）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本契約終了後、乙は甲の求めに応じて、提供された資料及びデータを返還又は廃棄する。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ghawzumfqhb"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0vqhdhxmlzb"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ibpkjz8lp4i"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