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ueouvn89gm0" w:id="0"/>
      <w:bookmarkEnd w:id="0"/>
      <w:r w:rsidDel="00000000" w:rsidR="00000000" w:rsidRPr="00000000">
        <w:rPr>
          <w:rFonts w:ascii="Arial Unicode MS" w:cs="Arial Unicode MS" w:eastAsia="Arial Unicode MS" w:hAnsi="Arial Unicode MS"/>
          <w:b w:val="1"/>
          <w:bCs w:val="1"/>
          <w:sz w:val="44"/>
          <w:szCs w:val="44"/>
          <w:rtl w:val="0"/>
        </w:rPr>
        <w:t xml:space="preserve">フリーランス稼働管理に関する覚書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甲に提供する業務に関する稼働管理の方法及び運用ルールについて、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ma5u3e7gsx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本覚書は、乙が甲に対して提供する業務に関し、稼働時間、作業内容、報告方法その他の管理手法を明確化することで、業務の適正な遂行及び双方の認識齟齬の防止を目的とする。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fyvsxs4oqwe"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本覚書は、甲乙間で締結された業務委託契約（以下「原契約」という。）に基づくすべての業務に適用されるものとする。</w:t>
        <w:br w:type="textWrapping"/>
        <w:t xml:space="preserve">本覚書の内容が原契約と抵触する場合には、原契約の定めを優先する。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4mpky8uc56d6" w:id="3"/>
      <w:bookmarkEnd w:id="3"/>
      <w:r w:rsidDel="00000000" w:rsidR="00000000" w:rsidRPr="00000000">
        <w:rPr>
          <w:rFonts w:ascii="Arial Unicode MS" w:cs="Arial Unicode MS" w:eastAsia="Arial Unicode MS" w:hAnsi="Arial Unicode MS"/>
          <w:b w:val="1"/>
          <w:bCs w:val="1"/>
          <w:rtl w:val="0"/>
        </w:rPr>
        <w:t xml:space="preserve">第3条（稼働時間の定義）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「稼働時間」とは、乙が本業務の遂行のために実際に作業を行った時間をいう。</w:t>
        <w:br w:type="textWrapping"/>
        <w:t xml:space="preserve">2　移動時間、待機時間、自己研鑽時間等は、別途合意がない限り稼働時間に含まれない。</w:t>
        <w:br w:type="textWrapping"/>
        <w:t xml:space="preserve">3　稼働時間の算定単位は、原則として●分単位とする。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smpcw6r3yaa5" w:id="4"/>
      <w:bookmarkEnd w:id="4"/>
      <w:r w:rsidDel="00000000" w:rsidR="00000000" w:rsidRPr="00000000">
        <w:rPr>
          <w:rFonts w:ascii="Arial Unicode MS" w:cs="Arial Unicode MS" w:eastAsia="Arial Unicode MS" w:hAnsi="Arial Unicode MS"/>
          <w:b w:val="1"/>
          <w:bCs w:val="1"/>
          <w:rtl w:val="0"/>
        </w:rPr>
        <w:t xml:space="preserve">第4条（稼働管理方法）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乙は、甲が指定するツール又は方法（例：勤怠管理システム、スプレッドシート等）により、日次又は週次で稼働時間を記録するものとする。</w:t>
        <w:br w:type="textWrapping"/>
        <w:t xml:space="preserve">2　記録内容には、少なくとも以下の事項を含めるものとする。</w:t>
        <w:br w:type="textWrapping"/>
        <w:t xml:space="preserve">（1）作業日</w:t>
        <w:br w:type="textWrapping"/>
        <w:t xml:space="preserve">（2）作業時間帯</w:t>
        <w:br w:type="textWrapping"/>
        <w:t xml:space="preserve">（3）作業内容</w:t>
        <w:br w:type="textWrapping"/>
        <w:t xml:space="preserve">（4）成果物又は進捗状況</w:t>
        <w:br w:type="textWrapping"/>
        <w:t xml:space="preserve">3　乙は、記録内容について真実かつ正確に入力しなければならない。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qwpo27gfyez8" w:id="5"/>
      <w:bookmarkEnd w:id="5"/>
      <w:r w:rsidDel="00000000" w:rsidR="00000000" w:rsidRPr="00000000">
        <w:rPr>
          <w:rFonts w:ascii="Arial Unicode MS" w:cs="Arial Unicode MS" w:eastAsia="Arial Unicode MS" w:hAnsi="Arial Unicode MS"/>
          <w:b w:val="1"/>
          <w:bCs w:val="1"/>
          <w:rtl w:val="0"/>
        </w:rPr>
        <w:t xml:space="preserve">第5条（報告義務）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乙は、甲に対し、稼働状況及び業務進捗について、週次又は甲が定める頻度で報告を行う。</w:t>
        <w:br w:type="textWrapping"/>
        <w:t xml:space="preserve">2　甲は、必要に応じて乙に対し、追加の説明又は資料提出を求めることができる。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v3qjyntdqih2" w:id="6"/>
      <w:bookmarkEnd w:id="6"/>
      <w:r w:rsidDel="00000000" w:rsidR="00000000" w:rsidRPr="00000000">
        <w:rPr>
          <w:rFonts w:ascii="Arial Unicode MS" w:cs="Arial Unicode MS" w:eastAsia="Arial Unicode MS" w:hAnsi="Arial Unicode MS"/>
          <w:b w:val="1"/>
          <w:bCs w:val="1"/>
          <w:rtl w:val="0"/>
        </w:rPr>
        <w:t xml:space="preserve">第6条（稼働時間の承認）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乙が報告した稼働時間は、甲による確認及び承認をもって確定するものとする。</w:t>
        <w:br w:type="textWrapping"/>
        <w:t xml:space="preserve">2　甲は、合理的な理由がある場合には、稼働時間の全部又は一部について修正又は不承認とすることができる。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kmohdo4w79j9" w:id="7"/>
      <w:bookmarkEnd w:id="7"/>
      <w:r w:rsidDel="00000000" w:rsidR="00000000" w:rsidRPr="00000000">
        <w:rPr>
          <w:rFonts w:ascii="Arial Unicode MS" w:cs="Arial Unicode MS" w:eastAsia="Arial Unicode MS" w:hAnsi="Arial Unicode MS"/>
          <w:b w:val="1"/>
          <w:bCs w:val="1"/>
          <w:rtl w:val="0"/>
        </w:rPr>
        <w:t xml:space="preserve">第7条（報酬との関係）</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報酬が時間単価制の場合、承認された稼働時間に基づき報酬額を算定する。</w:t>
        <w:br w:type="textWrapping"/>
        <w:t xml:space="preserve">2　固定報酬制の場合であっても、稼働実績は業務の履行状況確認のために利用される。</w:t>
        <w:br w:type="textWrapping"/>
        <w:t xml:space="preserve">3　稼働時間の虚偽申告が判明した場合、甲は報酬の減額又は返還請求を行うことができる。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4wipxj1p6730" w:id="8"/>
      <w:bookmarkEnd w:id="8"/>
      <w:r w:rsidDel="00000000" w:rsidR="00000000" w:rsidRPr="00000000">
        <w:rPr>
          <w:rFonts w:ascii="Arial Unicode MS" w:cs="Arial Unicode MS" w:eastAsia="Arial Unicode MS" w:hAnsi="Arial Unicode MS"/>
          <w:b w:val="1"/>
          <w:bCs w:val="1"/>
          <w:rtl w:val="0"/>
        </w:rPr>
        <w:t xml:space="preserve">第8条（業務指示及び優先順位）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乙は、甲の業務指示に従い、業務を遂行するものとする。</w:t>
        <w:br w:type="textWrapping"/>
        <w:t xml:space="preserve">2　複数業務がある場合の優先順位は、甲の指示による。</w:t>
        <w:br w:type="textWrapping"/>
        <w:t xml:space="preserve">3　乙は、業務遂行に支障が生じるおそれがある場合、速やかに甲に通知しなければならない。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fshmyjnmsao1" w:id="9"/>
      <w:bookmarkEnd w:id="9"/>
      <w:r w:rsidDel="00000000" w:rsidR="00000000" w:rsidRPr="00000000">
        <w:rPr>
          <w:rFonts w:ascii="Arial Unicode MS" w:cs="Arial Unicode MS" w:eastAsia="Arial Unicode MS" w:hAnsi="Arial Unicode MS"/>
          <w:b w:val="1"/>
          <w:bCs w:val="1"/>
          <w:rtl w:val="0"/>
        </w:rPr>
        <w:t xml:space="preserve">第9条（稼働時間の上限及び調整）</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甲乙は、必要に応じて月間又は週間の稼働時間の上限を定めることができる。</w:t>
        <w:br w:type="textWrapping"/>
        <w:t xml:space="preserve">2　乙は、上限を超える稼働が見込まれる場合、事前に甲の承認を得なければならない。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7bu2s7hypfts"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乙は、稼働管理に関連して知り得た甲の業務内容、技術情報その他一切の情報について、原契約に定める秘密保持義務を遵守する。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fgq16mlzsbjb" w:id="11"/>
      <w:bookmarkEnd w:id="11"/>
      <w:r w:rsidDel="00000000" w:rsidR="00000000" w:rsidRPr="00000000">
        <w:rPr>
          <w:rFonts w:ascii="Arial Unicode MS" w:cs="Arial Unicode MS" w:eastAsia="Arial Unicode MS" w:hAnsi="Arial Unicode MS"/>
          <w:b w:val="1"/>
          <w:bCs w:val="1"/>
          <w:rtl w:val="0"/>
        </w:rPr>
        <w:t xml:space="preserve">第11条（記録の保存）</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乙は、稼働記録及び関連資料を、契約終了後●年間保存するものとし、甲の求めに応じて提出しなければならない。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7v4sd6dpm274" w:id="12"/>
      <w:bookmarkEnd w:id="12"/>
      <w:r w:rsidDel="00000000" w:rsidR="00000000" w:rsidRPr="00000000">
        <w:rPr>
          <w:rFonts w:ascii="Arial Unicode MS" w:cs="Arial Unicode MS" w:eastAsia="Arial Unicode MS" w:hAnsi="Arial Unicode MS"/>
          <w:b w:val="1"/>
          <w:bCs w:val="1"/>
          <w:rtl w:val="0"/>
        </w:rPr>
        <w:t xml:space="preserve">第12条（監査）</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甲は、必要に応じて、乙の稼働記録及び業務実態について監査を行うことができる。</w:t>
        <w:br w:type="textWrapping"/>
        <w:t xml:space="preserve">乙は、当該監査に合理的な範囲で協力するものとする。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9ic6v8kc9m70" w:id="13"/>
      <w:bookmarkEnd w:id="13"/>
      <w:r w:rsidDel="00000000" w:rsidR="00000000" w:rsidRPr="00000000">
        <w:rPr>
          <w:rFonts w:ascii="Arial Unicode MS" w:cs="Arial Unicode MS" w:eastAsia="Arial Unicode MS" w:hAnsi="Arial Unicode MS"/>
          <w:b w:val="1"/>
          <w:bCs w:val="1"/>
          <w:rtl w:val="0"/>
        </w:rPr>
        <w:t xml:space="preserve">第13条（違反時の措置）</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乙が本覚書に違反した場合、甲は是正要求、報酬減額、契約解除その他必要な措置を講じることができる。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gplhn7i0toc8" w:id="14"/>
      <w:bookmarkEnd w:id="14"/>
      <w:r w:rsidDel="00000000" w:rsidR="00000000" w:rsidRPr="00000000">
        <w:rPr>
          <w:rFonts w:ascii="Arial Unicode MS" w:cs="Arial Unicode MS" w:eastAsia="Arial Unicode MS" w:hAnsi="Arial Unicode MS"/>
          <w:b w:val="1"/>
          <w:bCs w:val="1"/>
          <w:rtl w:val="0"/>
        </w:rPr>
        <w:t xml:space="preserve">第14条（有効期間）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本覚書の有効期間は、原契約の有効期間と同一とする。</w:t>
        <w:br w:type="textWrapping"/>
        <w:t xml:space="preserve">なお、本覚書終了後も、第10条及び第11条の規定は有効に存続する。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mdu6t3tc3gyt"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本覚書に定めのない事項又は疑義が生じた場合には、甲乙誠意をもって協議し解決する。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1ex22j6a9qou"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本覚書に関して紛争が生じた場合には、甲の本店所在地を管轄する地方裁判所を第一審の専属的合意管轄裁判所とする。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ufgdpi64bjbr" w:id="17"/>
      <w:bookmarkEnd w:id="17"/>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本覚書締結の証として、本書2通を作成し、甲乙各自記名押印のうえ、各1通を保有する。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