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gaq20jju0vb" w:id="0"/>
      <w:bookmarkEnd w:id="0"/>
      <w:r w:rsidDel="00000000" w:rsidR="00000000" w:rsidRPr="00000000">
        <w:rPr>
          <w:rFonts w:ascii="Arial Unicode MS" w:cs="Arial Unicode MS" w:eastAsia="Arial Unicode MS" w:hAnsi="Arial Unicode MS"/>
          <w:b w:val="1"/>
          <w:bCs w:val="1"/>
          <w:sz w:val="44"/>
          <w:szCs w:val="44"/>
          <w:rtl w:val="0"/>
        </w:rPr>
        <w:t xml:space="preserve">役務提供報酬に関する覚書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●●株式会社（以下「甲」という。）と●●（以下「乙」という。）は、甲が乙に対して委託する役務提供に係る報酬の取扱いについて、以下のとおり覚書（以下「本覚書」という。）を締結する。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e611k9cnjy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本覚書は、甲が乙に委託する役務提供に関し、その報酬の内容、支払条件その他必要事項を定め、当事者間の権利義務関係を明確にすることを目的とする。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jmrvbkq2yzp" w:id="2"/>
      <w:bookmarkEnd w:id="2"/>
      <w:r w:rsidDel="00000000" w:rsidR="00000000" w:rsidRPr="00000000">
        <w:rPr>
          <w:rFonts w:ascii="Arial Unicode MS" w:cs="Arial Unicode MS" w:eastAsia="Arial Unicode MS" w:hAnsi="Arial Unicode MS"/>
          <w:b w:val="1"/>
          <w:bCs w:val="1"/>
          <w:rtl w:val="0"/>
        </w:rPr>
        <w:t xml:space="preserve">第2条（役務の内容）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乙は、甲の依頼に基づき、以下の役務を提供する。</w:t>
        <w:br w:type="textWrapping"/>
        <w:t xml:space="preserve">（1）●●業務</w:t>
        <w:br w:type="textWrapping"/>
        <w:t xml:space="preserve">（2）前号に付随する一切の業務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具体的な業務内容、範囲、納期等は、別途個別契約、発注書、業務指示書等により定める。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bnkrd7usfgjg" w:id="3"/>
      <w:bookmarkEnd w:id="3"/>
      <w:r w:rsidDel="00000000" w:rsidR="00000000" w:rsidRPr="00000000">
        <w:rPr>
          <w:rFonts w:ascii="Arial Unicode MS" w:cs="Arial Unicode MS" w:eastAsia="Arial Unicode MS" w:hAnsi="Arial Unicode MS"/>
          <w:b w:val="1"/>
          <w:bCs w:val="1"/>
          <w:rtl w:val="0"/>
        </w:rPr>
        <w:t xml:space="preserve">第3条（報酬）</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甲は、乙による役務提供の対価として、以下の報酬を支払う。</w:t>
        <w:br w:type="textWrapping"/>
        <w:t xml:space="preserve">（1）固定報酬：●●円（税別）</w:t>
        <w:br w:type="textWrapping"/>
        <w:t xml:space="preserve">（2）成果報酬：別途定める条件に基づき算出</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報酬の算定方法、支払対象となる成果の定義等は、個別契約又は別紙にて定める。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auz6m9nfakf" w:id="4"/>
      <w:bookmarkEnd w:id="4"/>
      <w:r w:rsidDel="00000000" w:rsidR="00000000" w:rsidRPr="00000000">
        <w:rPr>
          <w:rFonts w:ascii="Arial Unicode MS" w:cs="Arial Unicode MS" w:eastAsia="Arial Unicode MS" w:hAnsi="Arial Unicode MS"/>
          <w:b w:val="1"/>
          <w:bCs w:val="1"/>
          <w:rtl w:val="0"/>
        </w:rPr>
        <w:t xml:space="preserve">第4条（支払条件）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甲は、乙からの請求書受領後、●日以内に、乙指定の銀行口座へ報酬を振込により支払う。</w:t>
        <w:br w:type="textWrapping"/>
        <w:t xml:space="preserve">2　振込手数料は、原則として甲の負担とする。</w:t>
        <w:br w:type="textWrapping"/>
        <w:t xml:space="preserve">3　支払期日が金融機関の休業日にあたる場合は、翌営業日を支払期日とする。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zf0cjhn8tm71" w:id="5"/>
      <w:bookmarkEnd w:id="5"/>
      <w:r w:rsidDel="00000000" w:rsidR="00000000" w:rsidRPr="00000000">
        <w:rPr>
          <w:rFonts w:ascii="Arial Unicode MS" w:cs="Arial Unicode MS" w:eastAsia="Arial Unicode MS" w:hAnsi="Arial Unicode MS"/>
          <w:b w:val="1"/>
          <w:bCs w:val="1"/>
          <w:rtl w:val="0"/>
        </w:rPr>
        <w:t xml:space="preserve">第5条（検収）</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甲は、乙の提供する役務の成果物又は業務内容について、合理的期間内に検収を行う。</w:t>
        <w:br w:type="textWrapping"/>
        <w:t xml:space="preserve">2　甲が検収完了の通知を行った時点、又は合理的期間内に異議を述べなかった場合、当該役務は検収合格とみなす。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2ldn5ulm5da" w:id="6"/>
      <w:bookmarkEnd w:id="6"/>
      <w:r w:rsidDel="00000000" w:rsidR="00000000" w:rsidRPr="00000000">
        <w:rPr>
          <w:rFonts w:ascii="Arial Unicode MS" w:cs="Arial Unicode MS" w:eastAsia="Arial Unicode MS" w:hAnsi="Arial Unicode MS"/>
          <w:b w:val="1"/>
          <w:bCs w:val="1"/>
          <w:rtl w:val="0"/>
        </w:rPr>
        <w:t xml:space="preserve">第6条（報酬の減額・不支払）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乙が契約内容に適合しない役務を提供した場合、甲は合理的範囲で報酬の減額又は不支払を行うことができる。</w:t>
        <w:br w:type="textWrapping"/>
        <w:t xml:space="preserve">2　前項の場合、甲は乙に対し修正又は再履行を求めることができる。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rvlbfr20zd2k"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役務提供に必要な交通費、通信費その他の費用については、別途合意がある場合を除き、乙の負担とする。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e564rd7kulyh" w:id="8"/>
      <w:bookmarkEnd w:id="8"/>
      <w:r w:rsidDel="00000000" w:rsidR="00000000" w:rsidRPr="00000000">
        <w:rPr>
          <w:rFonts w:ascii="Arial Unicode MS" w:cs="Arial Unicode MS" w:eastAsia="Arial Unicode MS" w:hAnsi="Arial Unicode MS"/>
          <w:b w:val="1"/>
          <w:bCs w:val="1"/>
          <w:rtl w:val="0"/>
        </w:rPr>
        <w:t xml:space="preserve">第8条（遅延損害金）</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甲が支払期日を経過しても報酬を支払わない場合、甲は乙に対し、支払期日の翌日から支払済みまで年●％の割合による遅延損害金を支払う。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xy9bynlqicu" w:id="9"/>
      <w:bookmarkEnd w:id="9"/>
      <w:r w:rsidDel="00000000" w:rsidR="00000000" w:rsidRPr="00000000">
        <w:rPr>
          <w:rFonts w:ascii="Arial Unicode MS" w:cs="Arial Unicode MS" w:eastAsia="Arial Unicode MS" w:hAnsi="Arial Unicode MS"/>
          <w:b w:val="1"/>
          <w:bCs w:val="1"/>
          <w:rtl w:val="0"/>
        </w:rPr>
        <w:t xml:space="preserve">第9条（税務処理）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本覚書に基づく報酬には、消費税及び地方消費税を別途加算する。</w:t>
        <w:br w:type="textWrapping"/>
        <w:t xml:space="preserve">2　源泉徴収の要否については、法令に従い適切に処理する。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jfl4tus73f4"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本覚書の有効期間は、●年●月●日から●年●月●日までとする。ただし、期間満了の●日前までにいずれからも書面による解約の意思表示がない場合、同一条件で自動更新する。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hqeavrrmsss"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甲及び乙は、相手方が本覚書に違反し、相当期間を定めて是正を求めたにもかかわらず改善されない場合、本覚書を解除することができる。</w:t>
        <w:br w:type="textWrapping"/>
        <w:t xml:space="preserve">2　解除時点までに完了した役務については、甲は乙に対し相当額の報酬を支払う。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twer8hbwrcbj"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当事者は、本覚書に違反し相手方に損害を与えた場合、その通常かつ直接の損害を賠償する責任を負う。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pibjrf4yzqd"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当事者は、本覚書及び役務提供に関連して知り得た相手方の営業上又は技術上の情報を第三者に開示してはならない。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fmteu5bf68v"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本覚書に定めのない事項又は解釈に疑義が生じた場合、甲乙は誠意をもって協議し解決する。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qntdjy2kln7"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本覚書は日本法に準拠し、本覚書に関して生じる紛争については、●●地方裁判所を第一審の専属的合意管轄裁判所とする。</w:t>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jyaq53ezav02"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