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b1bioo41ne0" w:id="0"/>
      <w:bookmarkEnd w:id="0"/>
      <w:r w:rsidDel="00000000" w:rsidR="00000000" w:rsidRPr="00000000">
        <w:rPr>
          <w:rFonts w:ascii="Arial Unicode MS" w:cs="Arial Unicode MS" w:eastAsia="Arial Unicode MS" w:hAnsi="Arial Unicode MS"/>
          <w:b w:val="1"/>
          <w:bCs w:val="1"/>
          <w:sz w:val="44"/>
          <w:szCs w:val="44"/>
          <w:rtl w:val="0"/>
        </w:rPr>
        <w:t xml:space="preserve">競業避止に関する覚書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●●株式会社（以下「甲」という。）と●●（以下「乙」という。）は、両者間の取引関係又は業務委託関係に関連して、競業行為の防止に関し、以下のとおり覚書（以下「本覚書」という。）を締結する。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vdusb42w9l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本覚書は、甲乙間の業務遂行に伴い取得した営業上・技術上の情報及び顧客関係を保護し、不正な競業行為を防止することを目的とする。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r409ju00qst" w:id="2"/>
      <w:bookmarkEnd w:id="2"/>
      <w:r w:rsidDel="00000000" w:rsidR="00000000" w:rsidRPr="00000000">
        <w:rPr>
          <w:rFonts w:ascii="Arial Unicode MS" w:cs="Arial Unicode MS" w:eastAsia="Arial Unicode MS" w:hAnsi="Arial Unicode MS"/>
          <w:b w:val="1"/>
          <w:bCs w:val="1"/>
          <w:rtl w:val="0"/>
        </w:rPr>
        <w:t xml:space="preserve">第2条（競業行為の禁止）</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乙は、以下の各号に定める行為（以下「競業行為」という。）を行ってはならない。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・甲と同一又は類似の事業を自ら営むこと</w:t>
        <w:br w:type="textWrapping"/>
        <w:t xml:space="preserve">・甲と競合する事業者のために業務を提供すること</w:t>
        <w:br w:type="textWrapping"/>
        <w:t xml:space="preserve">・甲の顧客に対して直接又は間接に営業活動を行うこと</w:t>
        <w:br w:type="textWrapping"/>
        <w:t xml:space="preserve">・甲の取引関係を不当に利用する行為</w:t>
        <w:br w:type="textWrapping"/>
        <w:t xml:space="preserve">・その他、甲の利益を害するおそれのある一切の行為</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ldh91zhdoueb" w:id="3"/>
      <w:bookmarkEnd w:id="3"/>
      <w:r w:rsidDel="00000000" w:rsidR="00000000" w:rsidRPr="00000000">
        <w:rPr>
          <w:rFonts w:ascii="Arial Unicode MS" w:cs="Arial Unicode MS" w:eastAsia="Arial Unicode MS" w:hAnsi="Arial Unicode MS"/>
          <w:b w:val="1"/>
          <w:bCs w:val="1"/>
          <w:rtl w:val="0"/>
        </w:rPr>
        <w:t xml:space="preserve">第3条（適用範囲）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本覚書に基づく競業避止義務は、乙が甲との業務に関連して関与した事業分野に限って適用される。</w:t>
        <w:br w:type="textWrapping"/>
        <w:t xml:space="preserve">２　乙が従前より独自に営んでいる事業については、本覚書の適用対象外とする。ただし、甲の秘密情報を利用する場合はこの限りでない。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dgdoue4fv1w2" w:id="4"/>
      <w:bookmarkEnd w:id="4"/>
      <w:r w:rsidDel="00000000" w:rsidR="00000000" w:rsidRPr="00000000">
        <w:rPr>
          <w:rFonts w:ascii="Arial Unicode MS" w:cs="Arial Unicode MS" w:eastAsia="Arial Unicode MS" w:hAnsi="Arial Unicode MS"/>
          <w:b w:val="1"/>
          <w:bCs w:val="1"/>
          <w:rtl w:val="0"/>
        </w:rPr>
        <w:t xml:space="preserve">第4条（期間）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本覚書に基づく競業避止義務の期間は、契約関係終了日から●年間とする。</w:t>
        <w:br w:type="textWrapping"/>
        <w:t xml:space="preserve">２　前項の期間は、合理的な範囲内で延長又は短縮することができる。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r7x9x1so2qpk" w:id="5"/>
      <w:bookmarkEnd w:id="5"/>
      <w:r w:rsidDel="00000000" w:rsidR="00000000" w:rsidRPr="00000000">
        <w:rPr>
          <w:rFonts w:ascii="Arial Unicode MS" w:cs="Arial Unicode MS" w:eastAsia="Arial Unicode MS" w:hAnsi="Arial Unicode MS"/>
          <w:b w:val="1"/>
          <w:bCs w:val="1"/>
          <w:rtl w:val="0"/>
        </w:rPr>
        <w:t xml:space="preserve">第5条（地域的制限）</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競業避止義務の対象地域は、日本国内（又は甲が事業を展開する地域）とする。ただし、業務の性質に応じて別途協議により定めることができる。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x78idqkjnytd" w:id="6"/>
      <w:bookmarkEnd w:id="6"/>
      <w:r w:rsidDel="00000000" w:rsidR="00000000" w:rsidRPr="00000000">
        <w:rPr>
          <w:rFonts w:ascii="Arial Unicode MS" w:cs="Arial Unicode MS" w:eastAsia="Arial Unicode MS" w:hAnsi="Arial Unicode MS"/>
          <w:b w:val="1"/>
          <w:bCs w:val="1"/>
          <w:rtl w:val="0"/>
        </w:rPr>
        <w:t xml:space="preserve">第6条（顧客引抜きの禁止）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乙は、契約期間中及び契約終了後●年間、甲の顧客、取引先、従業員に対して、直接又は間接に引抜き行為を行ってはならない。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n99cy3202t1u" w:id="7"/>
      <w:bookmarkEnd w:id="7"/>
      <w:r w:rsidDel="00000000" w:rsidR="00000000" w:rsidRPr="00000000">
        <w:rPr>
          <w:rFonts w:ascii="Arial Unicode MS" w:cs="Arial Unicode MS" w:eastAsia="Arial Unicode MS" w:hAnsi="Arial Unicode MS"/>
          <w:b w:val="1"/>
          <w:bCs w:val="1"/>
          <w:rtl w:val="0"/>
        </w:rPr>
        <w:t xml:space="preserve">第7条（秘密情報との関係）</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乙は、競業行為の有無にかかわらず、甲から取得した秘密情報を利用してはならない。</w:t>
        <w:br w:type="textWrapping"/>
        <w:t xml:space="preserve">なお、秘密情報の取扱いについては別途締結する秘密保持契約の定めに従うものとする。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4r0iplmywgly" w:id="8"/>
      <w:bookmarkEnd w:id="8"/>
      <w:r w:rsidDel="00000000" w:rsidR="00000000" w:rsidRPr="00000000">
        <w:rPr>
          <w:rFonts w:ascii="Arial Unicode MS" w:cs="Arial Unicode MS" w:eastAsia="Arial Unicode MS" w:hAnsi="Arial Unicode MS"/>
          <w:b w:val="1"/>
          <w:bCs w:val="1"/>
          <w:rtl w:val="0"/>
        </w:rPr>
        <w:t xml:space="preserve">第8条（例外）</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次の各号に該当する場合は、競業行為に該当しないものとする。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・甲の書面による事前承諾がある場合</w:t>
        <w:br w:type="textWrapping"/>
        <w:t xml:space="preserve">・一般に公開されている情報のみを利用する場合</w:t>
        <w:br w:type="textWrapping"/>
        <w:t xml:space="preserve">・乙の専門性に基づく通常の業務の範囲内であり、甲の利益を害しない場合</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mhslgpqlgpf" w:id="9"/>
      <w:bookmarkEnd w:id="9"/>
      <w:r w:rsidDel="00000000" w:rsidR="00000000" w:rsidRPr="00000000">
        <w:rPr>
          <w:rFonts w:ascii="Arial Unicode MS" w:cs="Arial Unicode MS" w:eastAsia="Arial Unicode MS" w:hAnsi="Arial Unicode MS"/>
          <w:b w:val="1"/>
          <w:bCs w:val="1"/>
          <w:rtl w:val="0"/>
        </w:rPr>
        <w:t xml:space="preserve">第9条（違反時の措置）</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乙が本覚書に違反した場合、甲は当該行為の差止めを請求できるものとする。</w:t>
        <w:br w:type="textWrapping"/>
        <w:t xml:space="preserve">２　乙は、違反により甲に生じた損害（逸失利益、弁護士費用を含む。）を賠償しなければならない。</w:t>
        <w:br w:type="textWrapping"/>
        <w:t xml:space="preserve">３　甲は、違反の程度に応じて違約金●円を請求できるものとする。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e0gl2lxlylhi"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本覚書に定めのない事項又は解釈に疑義が生じた場合は、甲乙誠意をもって協議し解決する。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84221v4dubx6" w:id="11"/>
      <w:bookmarkEnd w:id="11"/>
      <w:r w:rsidDel="00000000" w:rsidR="00000000" w:rsidRPr="00000000">
        <w:rPr>
          <w:rFonts w:ascii="Arial Unicode MS" w:cs="Arial Unicode MS" w:eastAsia="Arial Unicode MS" w:hAnsi="Arial Unicode MS"/>
          <w:b w:val="1"/>
          <w:bCs w:val="1"/>
          <w:rtl w:val="0"/>
        </w:rPr>
        <w:t xml:space="preserve">第11条（準拠法・管轄）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本覚書は日本法に準拠し、本覚書に関して生じる紛争については、甲の本店所在地を管轄する地方裁判所を第一審の専属的合意管轄裁判所とする。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rz62cyx9a7fn" w:id="12"/>
      <w:bookmarkEnd w:id="12"/>
      <w:r w:rsidDel="00000000" w:rsidR="00000000" w:rsidRPr="00000000">
        <w:rPr>
          <w:rFonts w:ascii="Arial Unicode MS" w:cs="Arial Unicode MS" w:eastAsia="Arial Unicode MS" w:hAnsi="Arial Unicode MS"/>
          <w:b w:val="1"/>
          <w:bCs w:val="1"/>
          <w:rtl w:val="0"/>
        </w:rPr>
        <w:t xml:space="preserve">第12条（合意の成立）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本覚書は、甲乙が記名押印した日より効力を生じる。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