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wsbatndm5oe" w:id="0"/>
      <w:bookmarkEnd w:id="0"/>
      <w:r w:rsidDel="00000000" w:rsidR="00000000" w:rsidRPr="00000000">
        <w:rPr>
          <w:rFonts w:ascii="Arial Unicode MS" w:cs="Arial Unicode MS" w:eastAsia="Arial Unicode MS" w:hAnsi="Arial Unicode MS"/>
          <w:b w:val="1"/>
          <w:bCs w:val="1"/>
          <w:sz w:val="44"/>
          <w:szCs w:val="44"/>
          <w:rtl w:val="0"/>
        </w:rPr>
        <w:t xml:space="preserve">家族信託ガイドライン共有覚書</w:t>
        <w:br w:type="textWrapping"/>
        <w:t xml:space="preserve">（契約書作成行為を含まない）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●●株式会社（以下「甲」という。）と●●（以下「乙」という。）は、家族信託に関する一般的な情報共有及びガイドライン提供に関し、以下のとおり覚書（以下「本覚書」という。）を締結する。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s8qn3ymfckl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本覚書は、甲が乙に対し、家族信託に関する一般的な制度説明、情報提供及びガイドラインの共有を行うにあたり、その範囲及び条件を明確にし、誤解や法的リスクを防止することを目的とする。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fgy9bzgxtjd0"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甲は乙に対し、以下の業務を行う。</w:t>
        <w:br w:type="textWrapping"/>
        <w:t xml:space="preserve">（１）家族信託に関する一般的な制度説明</w:t>
        <w:br w:type="textWrapping"/>
        <w:t xml:space="preserve">（２）家族信託の活用事例及び基本的な仕組みに関する情報提供</w:t>
        <w:br w:type="textWrapping"/>
        <w:t xml:space="preserve">（３）家族信託設計に関する一般的な考え方の提示</w:t>
        <w:br w:type="textWrapping"/>
        <w:t xml:space="preserve">（４）その他前各号に付随する情報提供</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前項の業務は、あくまで一般的な情報提供に限られ、個別具体的な法的判断又は助言を含まない。</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mu1tlasis17v" w:id="3"/>
      <w:bookmarkEnd w:id="3"/>
      <w:r w:rsidDel="00000000" w:rsidR="00000000" w:rsidRPr="00000000">
        <w:rPr>
          <w:rFonts w:ascii="Arial Unicode MS" w:cs="Arial Unicode MS" w:eastAsia="Arial Unicode MS" w:hAnsi="Arial Unicode MS"/>
          <w:b w:val="1"/>
          <w:bCs w:val="1"/>
          <w:rtl w:val="0"/>
        </w:rPr>
        <w:t xml:space="preserve">第3条（契約書作成行為の不実施）</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甲は、本覚書に基づき、信託契約書その他の法律文書の作成、添削又は具体的内容の決定を行わない。</w:t>
        <w:br w:type="textWrapping"/>
        <w:t xml:space="preserve">２　乙は、前項の行為が弁護士、司法書士、行政書士その他の有資格者により行われるべきものであることを理解し、必要に応じて専門家に依頼するものとする。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lm3uztp7irdi" w:id="4"/>
      <w:bookmarkEnd w:id="4"/>
      <w:r w:rsidDel="00000000" w:rsidR="00000000" w:rsidRPr="00000000">
        <w:rPr>
          <w:rFonts w:ascii="Arial Unicode MS" w:cs="Arial Unicode MS" w:eastAsia="Arial Unicode MS" w:hAnsi="Arial Unicode MS"/>
          <w:b w:val="1"/>
          <w:bCs w:val="1"/>
          <w:rtl w:val="0"/>
        </w:rPr>
        <w:t xml:space="preserve">第4条（専門家関与の原則）</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乙は、家族信託の実行にあたり、必ず自己の責任において専門家の助言を受けるものとする。</w:t>
        <w:br w:type="textWrapping"/>
        <w:t xml:space="preserve">２　甲は、乙に対し特定の専門家を紹介する場合があるが、その選任及び契約は乙の責任において行うものとする。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83amuv2hx8uh" w:id="5"/>
      <w:bookmarkEnd w:id="5"/>
      <w:r w:rsidDel="00000000" w:rsidR="00000000" w:rsidRPr="00000000">
        <w:rPr>
          <w:rFonts w:ascii="Arial Unicode MS" w:cs="Arial Unicode MS" w:eastAsia="Arial Unicode MS" w:hAnsi="Arial Unicode MS"/>
          <w:b w:val="1"/>
          <w:bCs w:val="1"/>
          <w:rtl w:val="0"/>
        </w:rPr>
        <w:t xml:space="preserve">第5条（非保証）</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甲は、本覚書に基づき提供する情報について、その正確性、完全性、有用性又は特定目的への適合性を保証しない。</w:t>
        <w:br w:type="textWrapping"/>
        <w:t xml:space="preserve">２　乙は、提供された情報を自己の判断と責任において利用するものとする。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tjkhsamshala" w:id="6"/>
      <w:bookmarkEnd w:id="6"/>
      <w:r w:rsidDel="00000000" w:rsidR="00000000" w:rsidRPr="00000000">
        <w:rPr>
          <w:rFonts w:ascii="Arial Unicode MS" w:cs="Arial Unicode MS" w:eastAsia="Arial Unicode MS" w:hAnsi="Arial Unicode MS"/>
          <w:b w:val="1"/>
          <w:bCs w:val="1"/>
          <w:rtl w:val="0"/>
        </w:rPr>
        <w:t xml:space="preserve">第6条（責任の制限）</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甲は、本覚書に関連して乙に生じたいかなる損害についても、故意又は重過失がある場合を除き、責任を負わない。</w:t>
        <w:br w:type="textWrapping"/>
        <w:t xml:space="preserve">２　前項にかかわらず、甲の責任が認められる場合であっても、その賠償額は、乙が甲に支払った対価の総額を上限とする。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rjcpxtgk3fn"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甲及び乙は、本覚書に関連して知り得た相手方の情報を第三者に開示又は漏えいしてはならない。</w:t>
        <w:br w:type="textWrapping"/>
        <w:t xml:space="preserve">２　前項の規定は、以下の情報には適用されない。</w:t>
        <w:br w:type="textWrapping"/>
        <w:t xml:space="preserve">（１）公知の情報</w:t>
        <w:br w:type="textWrapping"/>
        <w:t xml:space="preserve">（２）取得時に既に保有していた情報</w:t>
        <w:br w:type="textWrapping"/>
        <w:t xml:space="preserve">（３）正当な権限を有する第三者から適法に取得した情報</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cw4udoiq0wxo"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本覚書に基づき甲が提供する資料、ノウハウその他の情報に関する知的財産権は、甲又は正当な権利者に帰属し、乙に移転するものではない。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69jl1pl15wge" w:id="9"/>
      <w:bookmarkEnd w:id="9"/>
      <w:r w:rsidDel="00000000" w:rsidR="00000000" w:rsidRPr="00000000">
        <w:rPr>
          <w:rFonts w:ascii="Arial Unicode MS" w:cs="Arial Unicode MS" w:eastAsia="Arial Unicode MS" w:hAnsi="Arial Unicode MS"/>
          <w:b w:val="1"/>
          <w:bCs w:val="1"/>
          <w:rtl w:val="0"/>
        </w:rPr>
        <w:t xml:space="preserve">第9条（契約期間）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本覚書の有効期間は、締結日から●年間とする。ただし、期間満了後も、第5条、第6条及び第7条の規定は存続する。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n565myib05x" w:id="10"/>
      <w:bookmarkEnd w:id="10"/>
      <w:r w:rsidDel="00000000" w:rsidR="00000000" w:rsidRPr="00000000">
        <w:rPr>
          <w:rFonts w:ascii="Arial Unicode MS" w:cs="Arial Unicode MS" w:eastAsia="Arial Unicode MS" w:hAnsi="Arial Unicode MS"/>
          <w:b w:val="1"/>
          <w:bCs w:val="1"/>
          <w:rtl w:val="0"/>
        </w:rPr>
        <w:t xml:space="preserve">第10条（解除）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甲又は乙は、相手方が本覚書に違反し、相当期間を定めて是正を求めたにもかかわらず改善されない場合、本覚書を解除することができる。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487m9rgcu9vn" w:id="11"/>
      <w:bookmarkEnd w:id="11"/>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甲及び乙は、自己又は関係者が反社会的勢力に該当しないことを表明し、将来にわたっても該当しないことを保証する。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2epddp9a6yu9"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本覚書に定めのない事項又は疑義が生じた場合は、甲乙誠意をもって協議し解決する。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o7nb6wbg33al" w:id="13"/>
      <w:bookmarkEnd w:id="13"/>
      <w:r w:rsidDel="00000000" w:rsidR="00000000" w:rsidRPr="00000000">
        <w:rPr>
          <w:rFonts w:ascii="Arial Unicode MS" w:cs="Arial Unicode MS" w:eastAsia="Arial Unicode MS" w:hAnsi="Arial Unicode MS"/>
          <w:b w:val="1"/>
          <w:bCs w:val="1"/>
          <w:rtl w:val="0"/>
        </w:rPr>
        <w:t xml:space="preserve">第13条（準拠法及び管轄）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本覚書は日本法に準拠し、本覚書に関する紛争については、甲の本店所在地を管轄する地方裁判所を第一審の専属的合意管轄裁判所とする。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4yov967sh0o9" w:id="14"/>
      <w:bookmarkEnd w:id="14"/>
      <w:r w:rsidDel="00000000" w:rsidR="00000000" w:rsidRPr="00000000">
        <w:rPr>
          <w:rFonts w:ascii="Arial Unicode MS" w:cs="Arial Unicode MS" w:eastAsia="Arial Unicode MS" w:hAnsi="Arial Unicode MS"/>
          <w:b w:val="1"/>
          <w:bCs w:val="1"/>
          <w:rtl w:val="0"/>
        </w:rPr>
        <w:t xml:space="preserve">第14条（確認事項）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本覚書は、家族信託に関する情報共有を目的とするものであり、信託契約その他の法的契約を成立させるものではない。</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本覚書締結の証として、本書2通を作成し、甲乙各自記名押印の上、各1通を保有する。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　　　　　　　　　　</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　　</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