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a0rztwf6plev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親族間における財産管理ルール設定覚書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本覚書は、親族間における財産の適切な管理及び運用を目的として、以下の当事者間において締結される。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（当事者）</w:t>
        <w:br w:type="textWrapping"/>
        <w:t xml:space="preserve">甲：●●（住所：　　　　　）</w:t>
        <w:br w:type="textWrapping"/>
        <w:t xml:space="preserve">乙：●●（住所：　　　　　）</w:t>
        <w:br w:type="textWrapping"/>
        <w:t xml:space="preserve">丙：●●（住所：　　　　　）</w:t>
        <w:br w:type="textWrapping"/>
        <w:t xml:space="preserve">※必要に応じて当事者を追加する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xv5bl64bev3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本覚書は、当事者間で共有又は関係する財産について、その管理方法、利用ルール及び費用負担等を明確に定め、将来的な紛争の防止と円滑な財産管理を図ることを目的とする。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qkgl7244ijl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第2条（対象財産）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本覚書の対象となる財産は、以下のとおりとする。</w:t>
        <w:br w:type="textWrapping"/>
        <w:t xml:space="preserve">① 不動産（所在地：　　　　　）</w:t>
        <w:br w:type="textWrapping"/>
        <w:t xml:space="preserve">② 預貯金（金融機関名・口座番号：　　　　　）</w:t>
        <w:br w:type="textWrapping"/>
        <w:t xml:space="preserve">③ 有価証券その他の金融資産</w:t>
        <w:br w:type="textWrapping"/>
        <w:t xml:space="preserve">④ 動産（車両、貴金属等）</w:t>
        <w:br w:type="textWrapping"/>
        <w:t xml:space="preserve">⑤ その他当事者が合意した財産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p48hh3dzbtx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第3条（管理責任者）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本財産の管理責任者は、以下の者とする。</w:t>
        <w:br w:type="textWrapping"/>
        <w:t xml:space="preserve">　管理責任者：●●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管理責任者は、善良なる管理者の注意をもって財産の維持・管理を行うものとする。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管理責任者は、重要な処分又は意思決定を行う場合、事前に当事者全員の同意を得るものとする。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v0bt1xliaxn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第4条（財産の利用）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各当事者は、本財産を本来の用途の範囲内で利用することができる。</w:t>
        <w:br w:type="textWrapping"/>
        <w:t xml:space="preserve">2　第三者への貸与、譲渡又は担保設定等を行う場合には、当事者全員の書面による同意を必要とする。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qoi77rp8ltp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第5条（費用負担）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本財産の維持管理に要する費用（固定資産税、修繕費、保険料等）は、以下の割合で負担する。</w:t>
        <w:br w:type="textWrapping"/>
        <w:t xml:space="preserve">　甲：●％</w:t>
        <w:br w:type="textWrapping"/>
        <w:t xml:space="preserve">　乙：●％</w:t>
        <w:br w:type="textWrapping"/>
        <w:t xml:space="preserve">　丙：●％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前項の割合は、当事者の合意により変更することができる。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jd1jmy1rtji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第6条（収益の取扱い）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本財産から生じる収益（賃料、配当等）は、当事者間で以下の割合に従い分配する。</w:t>
        <w:br w:type="textWrapping"/>
        <w:t xml:space="preserve">　甲：●％</w:t>
        <w:br w:type="textWrapping"/>
        <w:t xml:space="preserve">　乙：●％</w:t>
        <w:br w:type="textWrapping"/>
        <w:t xml:space="preserve">　丙：●％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収益の分配方法及び時期については、別途協議により定める。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r5rjq3cbmue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第7条（情報共有）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管理責任者は、財産の管理状況、収支状況等について、定期的に当事者へ報告するものとする。</w:t>
        <w:br w:type="textWrapping"/>
        <w:t xml:space="preserve">2　当事者は、必要に応じて財産に関する情報の開示を求めることができる。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kzmd74g1n9n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第8条（処分及び重要事項の決定）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本財産の売却、担保設定、大規模修繕その他重要な事項については、原則として当事者全員の合意により決定する。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sl9s1ang2vn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第9条（相続・承継）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当事者の一部に相続が発生した場合、その地位は相続人に承継される。</w:t>
        <w:br w:type="textWrapping"/>
        <w:t xml:space="preserve">2　相続人は、本覚書の内容を承継し、これを遵守するものとする。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yr8vix4epwy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第10条（禁止事項）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当事者は、以下の行為を行ってはならない。</w:t>
        <w:br w:type="textWrapping"/>
        <w:t xml:space="preserve">① 他の当事者の同意なく財産を処分する行為</w:t>
        <w:br w:type="textWrapping"/>
        <w:t xml:space="preserve">② 財産の価値を著しく毀損する行為</w:t>
        <w:br w:type="textWrapping"/>
        <w:t xml:space="preserve">③ 不正な利益を得る目的での利用</w:t>
        <w:br w:type="textWrapping"/>
        <w:t xml:space="preserve">④ その他本覚書の趣旨に反する行為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0c0u7catmzj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第11条（覚書の変更）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本覚書の内容は、当事者全員の合意により書面で変更することができる。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i5euzlplxt8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第12条（有効期間）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本覚書は締結日より効力を生じ、対象財産が存在する限り有効とする。ただし、当事者全員の合意により終了することができる。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5f32v92rgea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第13条（解除）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当事者の一部が重大な違反を行った場合、他の当事者は協議の上、本覚書の全部又は一部を解除することができる。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3b8d6rnhbak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第14条（損害賠償）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当事者が本覚書に違反し、他の当事者に損害を与えた場合には、その損害を賠償する責任を負う。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mdw2zaym3xm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第15条（協議事項）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本覚書に定めのない事項又は疑義が生じた場合は、当事者間で誠実に協議し解決する。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usw7412ner9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第16条（管轄）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本覚書に関する紛争については、●●地方裁判所を第一審の専属的合意管轄裁判所とする。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as2e4nvb4kp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第17条（反社会的勢力の排除）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当事者は、自らが反社会的勢力に該当しないことを表明し、将来にわたりこれに該当しないことを保証する。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opsrpvdb9oj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本覚書締結の証として、本書を作成し、各当事者が記名押印のうえ各自保有する。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丙：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