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46psx6x6srd" w:id="0"/>
      <w:bookmarkEnd w:id="0"/>
      <w:r w:rsidDel="00000000" w:rsidR="00000000" w:rsidRPr="00000000">
        <w:rPr>
          <w:rFonts w:ascii="Arial Unicode MS" w:cs="Arial Unicode MS" w:eastAsia="Arial Unicode MS" w:hAnsi="Arial Unicode MS"/>
          <w:b w:val="1"/>
          <w:bCs w:val="1"/>
          <w:sz w:val="44"/>
          <w:szCs w:val="44"/>
          <w:rtl w:val="0"/>
        </w:rPr>
        <w:t xml:space="preserve">人事制度構築コンサルティング契約書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●●株式会社（以下「甲」という。）と、●●（以下「乙」という。）は、甲の人事制度構築に関するコンサルティング業務について、以下のとおり契約（以下「本契約」という。）を締結する。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1qkfacurld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本契約は、甲が自社の人事制度（評価制度、報酬制度、等級制度等を含むがこれに限られない。）の構築・改善を行うにあたり、乙がコンサルティング業務を提供することを目的とする。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d4l53poa5vt"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乙は、以下の業務（以下「本業務」という。）を行う。</w:t>
        <w:br w:type="textWrapping"/>
        <w:t xml:space="preserve">（1）現行人事制度の分析・課題抽出</w:t>
        <w:br w:type="textWrapping"/>
        <w:t xml:space="preserve">（2）人事制度設計（等級制度、評価制度、報酬制度等）</w:t>
        <w:br w:type="textWrapping"/>
        <w:t xml:space="preserve">（3）制度導入支援（社内説明資料作成、運用フロー設計等）</w:t>
        <w:br w:type="textWrapping"/>
        <w:t xml:space="preserve">（4）その他甲乙協議により定めた業務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本業務の具体的内容、スケジュール及び成果物は、別途書面又は電磁的方法により定める。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as1iep56ekq"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乙は、甲の業務運営に必要な範囲で、甲に対し資料提供及び情報開示を求めることができる。</w:t>
        <w:br w:type="textWrapping"/>
        <w:t xml:space="preserve">3　甲は、本業務遂行に必要な情報を適時適切に提供するものとする。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kckj9o1wm4f4" w:id="4"/>
      <w:bookmarkEnd w:id="4"/>
      <w:r w:rsidDel="00000000" w:rsidR="00000000" w:rsidRPr="00000000">
        <w:rPr>
          <w:rFonts w:ascii="Arial Unicode MS" w:cs="Arial Unicode MS" w:eastAsia="Arial Unicode MS" w:hAnsi="Arial Unicode MS"/>
          <w:b w:val="1"/>
          <w:bCs w:val="1"/>
          <w:rtl w:val="0"/>
        </w:rPr>
        <w:t xml:space="preserve">第4条（成果物）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本契約に基づき乙が作成する資料、提案書、制度設計書等を成果物という。</w:t>
        <w:br w:type="textWrapping"/>
        <w:t xml:space="preserve">2　成果物の内容は、甲の実情に応じた助言・提案を目的とするものであり、導入・運用の最終判断は甲が行う。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gmtfv8mra303"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支払時期及び方法は、別途定める。</w:t>
        <w:br w:type="textWrapping"/>
        <w:t xml:space="preserve">3　追加業務が発生した場合、甲乙協議のうえ追加報酬を定める。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ck76ijk3qek"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本業務遂行に要する交通費、宿泊費その他の実費は、別途合意に基づき甲が負担する。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pigt2nmsvjld"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成果物に関する著作権は、特段の定めがない限り甲に帰属する。</w:t>
        <w:br w:type="textWrapping"/>
        <w:t xml:space="preserve">2　乙は、自己のノウハウ、手法、テンプレート等についての権利を留保する。</w:t>
        <w:br w:type="textWrapping"/>
        <w:t xml:space="preserve">3　乙は、個別の機密情報を除き、成果物を匿名化した上で自己の実績として利用できる。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gc7ljnd375zx"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甲及び乙は、本契約に関連して知り得た相手方の営業上、技術上その他一切の秘密情報を第三者に開示又は漏えいしてはならない。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rsbaae1p588t"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bulgaebo5d3z"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期間満了の1か月前までにいずれからも異議がない場合、自動更新とする。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s1q2nmr1ibk"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やむを得ない事情により契約継続が困難な場合、双方協議のうえ解約できる。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6p3c5r9jhpag" w:id="12"/>
      <w:bookmarkEnd w:id="12"/>
      <w:r w:rsidDel="00000000" w:rsidR="00000000" w:rsidRPr="00000000">
        <w:rPr>
          <w:rFonts w:ascii="Arial Unicode MS" w:cs="Arial Unicode MS" w:eastAsia="Arial Unicode MS" w:hAnsi="Arial Unicode MS"/>
          <w:b w:val="1"/>
          <w:bCs w:val="1"/>
          <w:rtl w:val="0"/>
        </w:rPr>
        <w:t xml:space="preserve">第12条（責任の制限）</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乙の責任は、本契約に基づき受領した報酬の総額を上限とする。</w:t>
        <w:br w:type="textWrapping"/>
        <w:t xml:space="preserve">2　乙は、人事制度の導入結果や経営成果について保証しない。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xxxr7qzhztm3"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rhusc2ylo6j6"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sslw5tflo5m"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q7rxe3hqs6i"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本契約は一般的な参考ひな形であり、個別事情に応じた法的適合性を保証するものではない。実際の利用にあたっては、弁護士等の専門家による確認を推奨する。</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gq25k0drtimk"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