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1ikfgpcqcpx" w:id="0"/>
      <w:bookmarkEnd w:id="0"/>
      <w:r w:rsidDel="00000000" w:rsidR="00000000" w:rsidRPr="00000000">
        <w:rPr>
          <w:rFonts w:ascii="Arial Unicode MS" w:cs="Arial Unicode MS" w:eastAsia="Arial Unicode MS" w:hAnsi="Arial Unicode MS"/>
          <w:b w:val="1"/>
          <w:bCs w:val="1"/>
          <w:sz w:val="44"/>
          <w:szCs w:val="44"/>
          <w:rtl w:val="0"/>
        </w:rPr>
        <w:t xml:space="preserve">生前贈与計画サポート契約書</w:t>
        <w:br w:type="textWrapping"/>
        <w:t xml:space="preserve">（法的作成行為を含まない）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●●（以下「甲」という。）と●●（以下「乙」という。）は、甲の資産に関する生前贈与の計画立案及び整理に関する支援業務について、以下のとおり契約（以下「本契約」という。）を締結する。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obsvj1qejn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本契約は、甲が将来の資産承継に備え、生前贈与に関する計画の整理・検討を行うにあたり、乙が助言及び情報整理等の支援を提供することを目的とする。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cmbauitjyns"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乙は、以下の業務（以下「本業務」という。）を行う。</w:t>
        <w:br w:type="textWrapping"/>
        <w:t xml:space="preserve">（１）甲の資産状況に関するヒアリング及び整理</w:t>
        <w:br w:type="textWrapping"/>
        <w:t xml:space="preserve">（２）生前贈与に関する一般的な情報提供</w:t>
        <w:br w:type="textWrapping"/>
        <w:t xml:space="preserve">（３）贈与対象資産の分類・整理支援</w:t>
        <w:br w:type="textWrapping"/>
        <w:t xml:space="preserve">（４）贈与スケジュール案の作成支援</w:t>
        <w:br w:type="textWrapping"/>
        <w:t xml:space="preserve">（５）税制・制度に関する一般的説明（個別具体的な税務判断を除く）</w:t>
        <w:br w:type="textWrapping"/>
        <w:t xml:space="preserve">（６）その他前各号に付随する業務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本業務は、助言及び整理支援に限られ、法的判断、税務判断、契約書作成等の専門業務を含まない。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trbmavwpley5" w:id="3"/>
      <w:bookmarkEnd w:id="3"/>
      <w:r w:rsidDel="00000000" w:rsidR="00000000" w:rsidRPr="00000000">
        <w:rPr>
          <w:rFonts w:ascii="Arial Unicode MS" w:cs="Arial Unicode MS" w:eastAsia="Arial Unicode MS" w:hAnsi="Arial Unicode MS"/>
          <w:b w:val="1"/>
          <w:bCs w:val="1"/>
          <w:rtl w:val="0"/>
        </w:rPr>
        <w:t xml:space="preserve">第3条（法的行為の非実施）</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乙は、弁護士法、税理士法その他の法令に基づく資格を要する業務を行わない。</w:t>
        <w:br w:type="textWrapping"/>
        <w:t xml:space="preserve">２　乙は、贈与契約書の作成、税務申告書の作成、法的判断その他の専門的判断を行わない。</w:t>
        <w:br w:type="textWrapping"/>
        <w:t xml:space="preserve">３　甲は、必要に応じて弁護士、税理士その他の専門家へ相談するものとする。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x761ajno5btz" w:id="4"/>
      <w:bookmarkEnd w:id="4"/>
      <w:r w:rsidDel="00000000" w:rsidR="00000000" w:rsidRPr="00000000">
        <w:rPr>
          <w:rFonts w:ascii="Arial Unicode MS" w:cs="Arial Unicode MS" w:eastAsia="Arial Unicode MS" w:hAnsi="Arial Unicode MS"/>
          <w:b w:val="1"/>
          <w:bCs w:val="1"/>
          <w:rtl w:val="0"/>
        </w:rPr>
        <w:t xml:space="preserve">第4条（資料提供義務）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甲は、本業務の遂行に必要な資料及び情報を乙に提供する。</w:t>
        <w:br w:type="textWrapping"/>
        <w:t xml:space="preserve">２　甲が提供した情報の正確性については、甲が責任を負うものとする。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q00kjygu15c"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乙は、本業務に関連して知り得た甲の情報を第三者に漏えいしてはならない。</w:t>
        <w:br w:type="textWrapping"/>
        <w:t xml:space="preserve">２　本条の義務は、本契約終了後も存続する。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82tzytahmkt"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甲は、乙に対し、本業務の対価として●●円（消費税別途）を支払う。</w:t>
        <w:br w:type="textWrapping"/>
        <w:t xml:space="preserve">２　支払方法及び支払期日は別途合意する。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43mnpgetc697" w:id="7"/>
      <w:bookmarkEnd w:id="7"/>
      <w:r w:rsidDel="00000000" w:rsidR="00000000" w:rsidRPr="00000000">
        <w:rPr>
          <w:rFonts w:ascii="Arial Unicode MS" w:cs="Arial Unicode MS" w:eastAsia="Arial Unicode MS" w:hAnsi="Arial Unicode MS"/>
          <w:b w:val="1"/>
          <w:bCs w:val="1"/>
          <w:rtl w:val="0"/>
        </w:rPr>
        <w:t xml:space="preserve">第7条（契約期間）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本契約の有効期間は、契約締結日から●ヶ月間とする。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nwhgvb7jnkyy" w:id="8"/>
      <w:bookmarkEnd w:id="8"/>
      <w:r w:rsidDel="00000000" w:rsidR="00000000" w:rsidRPr="00000000">
        <w:rPr>
          <w:rFonts w:ascii="Arial Unicode MS" w:cs="Arial Unicode MS" w:eastAsia="Arial Unicode MS" w:hAnsi="Arial Unicode MS"/>
          <w:b w:val="1"/>
          <w:bCs w:val="1"/>
          <w:rtl w:val="0"/>
        </w:rPr>
        <w:t xml:space="preserve">第8条（契約の解除）</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甲又は乙は、相手方が本契約に違反し、相当期間を定めて是正を求めても改善されない場合、本契約を解除できる。</w:t>
        <w:br w:type="textWrapping"/>
        <w:t xml:space="preserve">２　やむを得ない事情がある場合、双方協議のうえ契約を終了できる。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2t640iwzvoy3" w:id="9"/>
      <w:bookmarkEnd w:id="9"/>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乙は、本業務の結果について、その完全性、正確性、特定目的適合性を保証しない。</w:t>
        <w:br w:type="textWrapping"/>
        <w:t xml:space="preserve">２　本業務に基づく判断及び実行は、甲の責任において行うものとする。</w:t>
        <w:br w:type="textWrapping"/>
        <w:t xml:space="preserve">３　乙の責任は、故意又は重過失による場合を除き、受領した報酬額を上限とする。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58j69ri0ny03"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1qbo7sbf3e5"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甲及び乙は、自らが反社会的勢力でないことを表明保証する。</w:t>
        <w:br w:type="textWrapping"/>
        <w:t xml:space="preserve">２　違反した場合、相手方は催告なく契約を解除できる。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bbtekeek08dl"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3xgo74gfi17" w:id="13"/>
      <w:bookmarkEnd w:id="13"/>
      <w:r w:rsidDel="00000000" w:rsidR="00000000" w:rsidRPr="00000000">
        <w:rPr>
          <w:rFonts w:ascii="Arial Unicode MS" w:cs="Arial Unicode MS" w:eastAsia="Arial Unicode MS" w:hAnsi="Arial Unicode MS"/>
          <w:b w:val="1"/>
          <w:bCs w:val="1"/>
          <w:rtl w:val="0"/>
        </w:rPr>
        <w:t xml:space="preserve">第13条（管轄）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hh5uxyn8u6m" w:id="14"/>
      <w:bookmarkEnd w:id="14"/>
      <w:r w:rsidDel="00000000" w:rsidR="00000000" w:rsidRPr="00000000">
        <w:rPr>
          <w:rFonts w:ascii="Arial Unicode MS" w:cs="Arial Unicode MS" w:eastAsia="Arial Unicode MS" w:hAnsi="Arial Unicode MS"/>
          <w:b w:val="1"/>
          <w:bCs w:val="1"/>
          <w:rtl w:val="0"/>
        </w:rPr>
        <w:t xml:space="preserve">第14条（契約書の保管）</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pu3c9n20tupc" w:id="15"/>
      <w:bookmarkEnd w:id="15"/>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