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マネーロンダリング防止（AML）遵守覚書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甲：●●株式会社（以下「甲」という。）</w:t>
        <w:br w:type="textWrapping"/>
        <w:t xml:space="preserve">乙：●●株式会社（以下「乙」という。）</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甲及び乙は、マネーロンダリング及びテロ資金供与防止に関する法令遵守体制の確保を目的として、次のとおりマネーロンダリング防止（AML）遵守覚書（以下「本覚書」という。）を締結する。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本覚書は、甲乙間で行われる取引、業務提携、サービス提供その他一切の商取引に関連して、マネーロンダリング及びテロ資金供与の防止並びに関連法令の遵守を図ることを目的とする。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r>
      <w:r w:rsidDel="00000000" w:rsidR="00000000" w:rsidRPr="00000000">
        <w:rPr>
          <w:rFonts w:ascii="Arial Unicode MS" w:cs="Arial Unicode MS" w:eastAsia="Arial Unicode MS" w:hAnsi="Arial Unicode MS"/>
          <w:sz w:val="20"/>
          <w:szCs w:val="20"/>
          <w:rtl w:val="0"/>
        </w:rPr>
        <w:br w:type="textWrapping"/>
        <w:t xml:space="preserve">本覚書は、甲乙間のすべての契約、業務、支払、送金、資金移動及びこれらに付随関連する行為に適用される。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第3条（法令等の遵守）</w:t>
        <w:br w:type="textWrapping"/>
      </w:r>
      <w:r w:rsidDel="00000000" w:rsidR="00000000" w:rsidRPr="00000000">
        <w:rPr>
          <w:rFonts w:ascii="Arial Unicode MS" w:cs="Arial Unicode MS" w:eastAsia="Arial Unicode MS" w:hAnsi="Arial Unicode MS"/>
          <w:sz w:val="20"/>
          <w:szCs w:val="20"/>
          <w:rtl w:val="0"/>
        </w:rPr>
        <w:t xml:space="preserve">1　甲及び乙は、犯罪による収益の移転防止に関する法律、外国為替及び外国貿易法、金融商品取引法その他のAML関連法令、ガイドライン及び監督官庁の指針を遵守する。</w:t>
        <w:br w:type="textWrapping"/>
        <w:t xml:space="preserve">2　甲及び乙は、自らの役員、従業員、委託先その他関係者に対し、AML関連法令の遵守を徹底するものとする。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第4条（本人確認等）</w:t>
        <w:br w:type="textWrapping"/>
      </w:r>
      <w:r w:rsidDel="00000000" w:rsidR="00000000" w:rsidRPr="00000000">
        <w:rPr>
          <w:rFonts w:ascii="Arial Unicode MS" w:cs="Arial Unicode MS" w:eastAsia="Arial Unicode MS" w:hAnsi="Arial Unicode MS"/>
          <w:sz w:val="20"/>
          <w:szCs w:val="20"/>
          <w:rtl w:val="0"/>
        </w:rPr>
        <w:t xml:space="preserve">1　甲及び乙は、必要に応じて、取引先、実質的支配者、受益者その他関係者の本人確認及び取引目的の確認を実施する。</w:t>
        <w:br w:type="textWrapping"/>
        <w:t xml:space="preserve">2　甲及び乙は、相手方から合理的に求められた場合、本人確認に必要な資料又は情報を提供する。</w:t>
        <w:br w:type="textWrapping"/>
        <w:t xml:space="preserve">3　甲及び乙は、提供した情報に変更が生じた場合、速やかに相手方へ通知する。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第5条（疑わしい取引への対応）</w:t>
        <w:br w:type="textWrapping"/>
      </w:r>
      <w:r w:rsidDel="00000000" w:rsidR="00000000" w:rsidRPr="00000000">
        <w:rPr>
          <w:rFonts w:ascii="Arial Unicode MS" w:cs="Arial Unicode MS" w:eastAsia="Arial Unicode MS" w:hAnsi="Arial Unicode MS"/>
          <w:sz w:val="20"/>
          <w:szCs w:val="20"/>
          <w:rtl w:val="0"/>
        </w:rPr>
        <w:t xml:space="preserve">1　甲及び乙は、マネーロンダリング又はテロ資金供与に関連する疑いのある取引を発見した場合、直ちに必要な調査を行う。</w:t>
        <w:br w:type="textWrapping"/>
        <w:t xml:space="preserve">2　甲及び乙は、合理的な疑義が解消されない場合、当該取引を停止し、又は拒否することができる。</w:t>
        <w:br w:type="textWrapping"/>
        <w:t xml:space="preserve">3　甲及び乙は、法令に基づき必要とされる場合、監督官庁その他関係機関へ報告を行うことができる。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第6条（制裁対象者等の排除）</w:t>
        <w:br w:type="textWrapping"/>
      </w:r>
      <w:r w:rsidDel="00000000" w:rsidR="00000000" w:rsidRPr="00000000">
        <w:rPr>
          <w:rFonts w:ascii="Arial Unicode MS" w:cs="Arial Unicode MS" w:eastAsia="Arial Unicode MS" w:hAnsi="Arial Unicode MS"/>
          <w:sz w:val="20"/>
          <w:szCs w:val="20"/>
          <w:rtl w:val="0"/>
        </w:rPr>
        <w:t xml:space="preserve">1　甲及び乙は、次の各号のいずれにも該当しないことを表明し、保証する。</w:t>
        <w:br w:type="textWrapping"/>
        <w:t xml:space="preserve">(1) 国際連合、日本国、米国、欧州連合その他の政府機関による経済制裁対象者</w:t>
        <w:br w:type="textWrapping"/>
        <w:t xml:space="preserve">(2) テロ組織、犯罪組織又はこれらに関係する者</w:t>
        <w:br w:type="textWrapping"/>
        <w:t xml:space="preserve">(3) マネーロンダリング又はテロ資金供与に関与している疑いがある者</w:t>
        <w:br w:type="textWrapping"/>
        <w:t xml:space="preserve">2　甲及び乙は、前項に該当する事実が判明した場合、直ちに相手方へ通知する。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第7条（取引記録の保存）</w:t>
        <w:br w:type="textWrapping"/>
      </w:r>
      <w:r w:rsidDel="00000000" w:rsidR="00000000" w:rsidRPr="00000000">
        <w:rPr>
          <w:rFonts w:ascii="Arial Unicode MS" w:cs="Arial Unicode MS" w:eastAsia="Arial Unicode MS" w:hAnsi="Arial Unicode MS"/>
          <w:sz w:val="20"/>
          <w:szCs w:val="20"/>
          <w:rtl w:val="0"/>
        </w:rPr>
        <w:t xml:space="preserve">甲及び乙は、AML関連法令に従い、本人確認記録、取引記録その他必要な情報を適切に保存するものとする。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第8条（教育及び管理体制）</w:t>
        <w:br w:type="textWrapping"/>
      </w:r>
      <w:r w:rsidDel="00000000" w:rsidR="00000000" w:rsidRPr="00000000">
        <w:rPr>
          <w:rFonts w:ascii="Arial Unicode MS" w:cs="Arial Unicode MS" w:eastAsia="Arial Unicode MS" w:hAnsi="Arial Unicode MS"/>
          <w:sz w:val="20"/>
          <w:szCs w:val="20"/>
          <w:rtl w:val="0"/>
        </w:rPr>
        <w:t xml:space="preserve">1　甲及び乙は、AML対策に関する社内規程及び内部管理体制の整備に努める。</w:t>
        <w:br w:type="textWrapping"/>
        <w:t xml:space="preserve">2　甲及び乙は、役員及び従業員に対し、AML対策に関する教育及び研修を実施するよう努める。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第9条（監査及び確認）</w:t>
        <w:br w:type="textWrapping"/>
      </w:r>
      <w:r w:rsidDel="00000000" w:rsidR="00000000" w:rsidRPr="00000000">
        <w:rPr>
          <w:rFonts w:ascii="Arial Unicode MS" w:cs="Arial Unicode MS" w:eastAsia="Arial Unicode MS" w:hAnsi="Arial Unicode MS"/>
          <w:sz w:val="20"/>
          <w:szCs w:val="20"/>
          <w:rtl w:val="0"/>
        </w:rPr>
        <w:t xml:space="preserve">1　甲及び乙は、相手方に対し、AML遵守状況について合理的な範囲で説明を求めることができる。</w:t>
        <w:br w:type="textWrapping"/>
        <w:t xml:space="preserve">2　甲及び乙は、必要に応じて、相手方のAML管理体制に関する資料提出を求めることができる。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甲及び乙は、本覚書に関連して取得した相手方の情報を秘密として保持し、法令上必要な場合を除き、第三者へ開示又は漏えいしてはならない。</w:t>
        <w:br w:type="textWrapping"/>
        <w:t xml:space="preserve">2　前項の規定は、本覚書終了後も有効に存続する。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甲又は乙は、相手方が次の各号のいずれかに該当した場合、何らの催告を要せず直ちに本覚書又は関連契約を解除することができる。</w:t>
        <w:br w:type="textWrapping"/>
        <w:t xml:space="preserve">(1) AML関連法令に違反した場合</w:t>
        <w:br w:type="textWrapping"/>
        <w:t xml:space="preserve">(2) マネーロンダリング又はテロ資金供与への関与が合理的に疑われる場合</w:t>
        <w:br w:type="textWrapping"/>
        <w:t xml:space="preserve">(3) 第6条の表明保証に違反した場合</w:t>
        <w:br w:type="textWrapping"/>
        <w:t xml:space="preserve">(4) 相手方のAML管理体制に重大な不備が認められる場合</w:t>
        <w:br w:type="textWrapping"/>
        <w:t xml:space="preserve">2　前項による解除により相手方に損害が生じても、解除した当事者は責任を負わない。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甲及び乙は、本覚書に違反し、相手方に損害を与えた場合、相手方に対し、その損害を賠償しなければならない。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第13条（有効期間）</w:t>
        <w:br w:type="textWrapping"/>
      </w:r>
      <w:r w:rsidDel="00000000" w:rsidR="00000000" w:rsidRPr="00000000">
        <w:rPr>
          <w:rFonts w:ascii="Arial Unicode MS" w:cs="Arial Unicode MS" w:eastAsia="Arial Unicode MS" w:hAnsi="Arial Unicode MS"/>
          <w:sz w:val="20"/>
          <w:szCs w:val="20"/>
          <w:rtl w:val="0"/>
        </w:rPr>
        <w:t xml:space="preserve">1　本覚書の有効期間は、本覚書締結日から1年間とする。</w:t>
        <w:br w:type="textWrapping"/>
        <w:t xml:space="preserve">2　期間満了の1か月前までに甲乙いずれからも書面による異議がない場合、本覚書は同一条件にてさらに1年間更新されるものとし、以後も同様とする。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本覚書に定めのない事項又は疑義が生じた事項については、甲乙誠意をもって協議し、解決するものとする。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本覚書に関する一切の紛争については、甲の本店所在地を管轄する地方裁判所を第一審の専属的合意管轄裁判所とする。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w:t>
        <w:br w:type="textWrapping"/>
        <w:t xml:space="preserve">住所：__________________________</w:t>
        <w:br w:type="textWrapping"/>
        <w:t xml:space="preserve">代表者名：______________________</w:t>
        <w:br w:type="textWrapping"/>
        <w:t xml:space="preserve">署名・押印：____________________</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w:t>
        <w:br w:type="textWrapping"/>
        <w:t xml:space="preserve">住所：__________________________</w:t>
        <w:br w:type="textWrapping"/>
        <w:t xml:space="preserve">代表者名：______________________</w:t>
        <w:br w:type="textWrapping"/>
        <w:t xml:space="preserve">署名・押印：____________________</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