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30kwhgddneb" w:id="0"/>
      <w:bookmarkEnd w:id="0"/>
      <w:r w:rsidDel="00000000" w:rsidR="00000000" w:rsidRPr="00000000">
        <w:rPr>
          <w:rFonts w:ascii="Arial Unicode MS" w:cs="Arial Unicode MS" w:eastAsia="Arial Unicode MS" w:hAnsi="Arial Unicode MS"/>
          <w:b w:val="1"/>
          <w:bCs w:val="1"/>
          <w:sz w:val="44"/>
          <w:szCs w:val="44"/>
          <w:rtl w:val="0"/>
        </w:rPr>
        <w:t xml:space="preserve">サプライチェーンリスク評価委託契約書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サプライチェーンに関するリスク評価業務の委託について、以下のとおりサプライチェーンリスク評価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fo65d9mt2y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甲は、自己の取引先、委託先、仕入先、製造委託先その他サプライチェーンを構成する事業者に関するリスク評価業務を乙に委託し、乙はこれを受託する。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本契約は、当該業務に関する基本的条件を定め、適切なリスク管理及びコンプライアンス体制の強化を図ることを目的とする。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7yknl37hkcxv"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本契約において「リスク評価業務」とは、次の各号に掲げる業務をいう。</w:t>
      </w:r>
    </w:p>
    <w:p w:rsidR="00000000" w:rsidDel="00000000" w:rsidP="00000000" w:rsidRDefault="00000000" w:rsidRPr="00000000" w14:paraId="0000000B">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サプライヤー及び委託先に関する調査</w:t>
      </w:r>
    </w:p>
    <w:p w:rsidR="00000000" w:rsidDel="00000000" w:rsidP="00000000" w:rsidRDefault="00000000" w:rsidRPr="00000000" w14:paraId="0000000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法令遵守状況、ESG対応状況及び内部統制状況の確認</w:t>
      </w:r>
    </w:p>
    <w:p w:rsidR="00000000" w:rsidDel="00000000" w:rsidP="00000000" w:rsidRDefault="00000000" w:rsidRPr="00000000" w14:paraId="0000000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人権・労働環境・環境保全に関するリスク分析</w:t>
      </w:r>
    </w:p>
    <w:p w:rsidR="00000000" w:rsidDel="00000000" w:rsidP="00000000" w:rsidRDefault="00000000" w:rsidRPr="00000000" w14:paraId="0000000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情報セキュリティ及び個人情報保護体制の確認</w:t>
      </w:r>
    </w:p>
    <w:p w:rsidR="00000000" w:rsidDel="00000000" w:rsidP="00000000" w:rsidRDefault="00000000" w:rsidRPr="00000000" w14:paraId="0000000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反社会的勢力との関係有無の確認</w:t>
      </w:r>
    </w:p>
    <w:p w:rsidR="00000000" w:rsidDel="00000000" w:rsidP="00000000" w:rsidRDefault="00000000" w:rsidRPr="00000000" w14:paraId="0000001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財務状況及び事業継続性に関する評価</w:t>
      </w:r>
    </w:p>
    <w:p w:rsidR="00000000" w:rsidDel="00000000" w:rsidP="00000000" w:rsidRDefault="00000000" w:rsidRPr="00000000" w14:paraId="0000001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地政学的リスク及び供給停止リスクの分析</w:t>
      </w:r>
    </w:p>
    <w:p w:rsidR="00000000" w:rsidDel="00000000" w:rsidP="00000000" w:rsidRDefault="00000000" w:rsidRPr="00000000" w14:paraId="00000012">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リスク評価報告書の作成</w:t>
      </w:r>
    </w:p>
    <w:p w:rsidR="00000000" w:rsidDel="00000000" w:rsidP="00000000" w:rsidRDefault="00000000" w:rsidRPr="00000000" w14:paraId="00000013">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改善提案及び是正勧告</w:t>
      </w:r>
    </w:p>
    <w:p w:rsidR="00000000" w:rsidDel="00000000" w:rsidP="00000000" w:rsidRDefault="00000000" w:rsidRPr="00000000" w14:paraId="00000014">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その他甲乙協議の上定める業務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9xceelu9nphl" w:id="3"/>
      <w:bookmarkEnd w:id="3"/>
      <w:r w:rsidDel="00000000" w:rsidR="00000000" w:rsidRPr="00000000">
        <w:rPr>
          <w:rFonts w:ascii="Arial Unicode MS" w:cs="Arial Unicode MS" w:eastAsia="Arial Unicode MS" w:hAnsi="Arial Unicode MS"/>
          <w:b w:val="1"/>
          <w:bCs w:val="1"/>
          <w:rtl w:val="0"/>
        </w:rPr>
        <w:t xml:space="preserve">第3条（個別業務）</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個別案件ごとの具体的内容、対象範囲、納期、報酬その他必要事項は、別途個別契約又は発注書等により定める。</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個別契約は、本契約の一部を構成するものとする。</w:t>
      </w:r>
    </w:p>
    <w:p w:rsidR="00000000" w:rsidDel="00000000" w:rsidP="00000000" w:rsidRDefault="00000000" w:rsidRPr="00000000" w14:paraId="0000001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個別契約の内容と本契約の内容が矛盾する場合は、個別契約を優先する。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4pzkjeq79wos"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乙は、善良なる管理者の注意をもってリスク評価業務を遂行する。</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乙は、法令、業界基準及び一般的なリスク管理実務に従い業務を実施する。</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乙は、甲の信用又は取引関係を不当に害する行為を行ってはならない。</w:t>
      </w:r>
    </w:p>
    <w:p w:rsidR="00000000" w:rsidDel="00000000" w:rsidP="00000000" w:rsidRDefault="00000000" w:rsidRPr="00000000" w14:paraId="0000001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乙は、必要に応じて甲へ業務進捗を報告するものとする。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r0wisotnom6n"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2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乙は、甲の事前の書面承諾なく、本契約に基づく業務を第三者へ再委託してはならない。</w:t>
      </w:r>
    </w:p>
    <w:p w:rsidR="00000000" w:rsidDel="00000000" w:rsidP="00000000" w:rsidRDefault="00000000" w:rsidRPr="00000000" w14:paraId="0000002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乙が甲の承諾を得て再委託を行う場合、乙は当該再委託先に本契約と同等の義務を負わせるものとし、再委託先の行為について一切の責任を負う。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dhkvx7icgzro" w:id="6"/>
      <w:bookmarkEnd w:id="6"/>
      <w:r w:rsidDel="00000000" w:rsidR="00000000" w:rsidRPr="00000000">
        <w:rPr>
          <w:rFonts w:ascii="Arial Unicode MS" w:cs="Arial Unicode MS" w:eastAsia="Arial Unicode MS" w:hAnsi="Arial Unicode MS"/>
          <w:b w:val="1"/>
          <w:bCs w:val="1"/>
          <w:rtl w:val="0"/>
        </w:rPr>
        <w:t xml:space="preserve">第6条（資料提供）</w:t>
      </w:r>
    </w:p>
    <w:p w:rsidR="00000000" w:rsidDel="00000000" w:rsidP="00000000" w:rsidRDefault="00000000" w:rsidRPr="00000000" w14:paraId="0000002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甲は、乙による業務遂行に必要な範囲で資料、データ及び情報を提供する。</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甲は、提供情報について、可能な限り正確性及び完全性を確保するよう努める。</w:t>
      </w:r>
    </w:p>
    <w:p w:rsidR="00000000" w:rsidDel="00000000" w:rsidP="00000000" w:rsidRDefault="00000000" w:rsidRPr="00000000" w14:paraId="0000002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乙は、提供情報に重大な不足又は疑義を発見した場合、速やかに甲へ通知する。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bgn7edtbo4t9"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甲及び乙は、本契約に関連して知り得た相手方の営業上、技術上、財務上その他一切の非公開情報を秘密として保持し、相手方の事前承諾なく第三者へ開示又は漏えいしてはならない。</w:t>
      </w:r>
    </w:p>
    <w:p w:rsidR="00000000" w:rsidDel="00000000" w:rsidP="00000000" w:rsidRDefault="00000000" w:rsidRPr="00000000" w14:paraId="0000002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前項の規定は、以下の各号に該当する情報には適用しない。</w:t>
      </w:r>
    </w:p>
    <w:p w:rsidR="00000000" w:rsidDel="00000000" w:rsidP="00000000" w:rsidRDefault="00000000" w:rsidRPr="00000000" w14:paraId="0000002D">
      <w:pPr>
        <w:numPr>
          <w:ilvl w:val="1"/>
          <w:numId w:val="8"/>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開示時点で既に公知であった情報</w:t>
      </w:r>
    </w:p>
    <w:p w:rsidR="00000000" w:rsidDel="00000000" w:rsidP="00000000" w:rsidRDefault="00000000" w:rsidRPr="00000000" w14:paraId="0000002E">
      <w:pPr>
        <w:numPr>
          <w:ilvl w:val="1"/>
          <w:numId w:val="8"/>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開示後に自己の責によらず公知となった情報</w:t>
      </w:r>
    </w:p>
    <w:p w:rsidR="00000000" w:rsidDel="00000000" w:rsidP="00000000" w:rsidRDefault="00000000" w:rsidRPr="00000000" w14:paraId="0000002F">
      <w:pPr>
        <w:numPr>
          <w:ilvl w:val="1"/>
          <w:numId w:val="8"/>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正当な権限を有する第三者から適法に取得した情報</w:t>
      </w:r>
    </w:p>
    <w:p w:rsidR="00000000" w:rsidDel="00000000" w:rsidP="00000000" w:rsidRDefault="00000000" w:rsidRPr="00000000" w14:paraId="00000030">
      <w:pPr>
        <w:numPr>
          <w:ilvl w:val="1"/>
          <w:numId w:val="8"/>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独自に開発又は取得した情報</w:t>
      </w:r>
    </w:p>
    <w:p w:rsidR="00000000" w:rsidDel="00000000" w:rsidP="00000000" w:rsidRDefault="00000000" w:rsidRPr="00000000" w14:paraId="0000003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乙は、調査対象となるサプライヤー情報及びリスク分析結果を厳重に管理しなければならない。</w:t>
      </w:r>
    </w:p>
    <w:p w:rsidR="00000000" w:rsidDel="00000000" w:rsidP="00000000" w:rsidRDefault="00000000" w:rsidRPr="00000000" w14:paraId="00000032">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本条の義務は、本契約終了後も5年間存続する。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pxuqjel1cz72" w:id="8"/>
      <w:bookmarkEnd w:id="8"/>
      <w:r w:rsidDel="00000000" w:rsidR="00000000" w:rsidRPr="00000000">
        <w:rPr>
          <w:rFonts w:ascii="Arial Unicode MS" w:cs="Arial Unicode MS" w:eastAsia="Arial Unicode MS" w:hAnsi="Arial Unicode MS"/>
          <w:b w:val="1"/>
          <w:bCs w:val="1"/>
          <w:rtl w:val="0"/>
        </w:rPr>
        <w:t xml:space="preserve">第8条（個人情報保護）</w:t>
      </w:r>
    </w:p>
    <w:p w:rsidR="00000000" w:rsidDel="00000000" w:rsidP="00000000" w:rsidRDefault="00000000" w:rsidRPr="00000000" w14:paraId="00000035">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乙は、個人情報を取り扱う場合、個人情報保護法その他関連法令を遵守する。</w:t>
      </w:r>
    </w:p>
    <w:p w:rsidR="00000000" w:rsidDel="00000000" w:rsidP="00000000" w:rsidRDefault="00000000" w:rsidRPr="00000000" w14:paraId="00000036">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乙は、個人情報への不正アクセス、漏えい、滅失又は毀損を防止するため必要かつ適切な安全管理措置を講じる。</w:t>
      </w:r>
    </w:p>
    <w:p w:rsidR="00000000" w:rsidDel="00000000" w:rsidP="00000000" w:rsidRDefault="00000000" w:rsidRPr="00000000" w14:paraId="00000037">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個人情報漏えい等が発生した場合、乙は直ちに甲へ報告し、必要な対応を行う。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89hjo1yp0lu7" w:id="9"/>
      <w:bookmarkEnd w:id="9"/>
      <w:r w:rsidDel="00000000" w:rsidR="00000000" w:rsidRPr="00000000">
        <w:rPr>
          <w:rFonts w:ascii="Arial Unicode MS" w:cs="Arial Unicode MS" w:eastAsia="Arial Unicode MS" w:hAnsi="Arial Unicode MS"/>
          <w:b w:val="1"/>
          <w:bCs w:val="1"/>
          <w:rtl w:val="0"/>
        </w:rPr>
        <w:t xml:space="preserve">第9条（成果物）</w:t>
      </w:r>
    </w:p>
    <w:p w:rsidR="00000000" w:rsidDel="00000000" w:rsidP="00000000" w:rsidRDefault="00000000" w:rsidRPr="00000000" w14:paraId="0000003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乙は、甲に対し、業務完了後、リスク評価報告書その他成果物を提出する。</w:t>
      </w:r>
    </w:p>
    <w:p w:rsidR="00000000" w:rsidDel="00000000" w:rsidP="00000000" w:rsidRDefault="00000000" w:rsidRPr="00000000" w14:paraId="0000003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成果物の提出形式及び提出方法は、個別契約に定める。</w:t>
      </w:r>
    </w:p>
    <w:p w:rsidR="00000000" w:rsidDel="00000000" w:rsidP="00000000" w:rsidRDefault="00000000" w:rsidRPr="00000000" w14:paraId="0000003C">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甲は、成果物の内容について確認を行い、必要に応じ修正を求めることができる。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7jz215xz80k2"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成果物に関する著作権その他知的財産権は、別段の定めがない限り甲に帰属する。</w:t>
      </w:r>
    </w:p>
    <w:p w:rsidR="00000000" w:rsidDel="00000000" w:rsidP="00000000" w:rsidRDefault="00000000" w:rsidRPr="00000000" w14:paraId="0000004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乙が従前から保有するノウハウ、テンプレート、分析手法その他既存知的財産権は乙に留保される。</w:t>
      </w:r>
    </w:p>
    <w:p w:rsidR="00000000" w:rsidDel="00000000" w:rsidP="00000000" w:rsidRDefault="00000000" w:rsidRPr="00000000" w14:paraId="0000004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乙は、甲が成果物を業務上利用するために必要な範囲で、前項の既存知的財産を利用することを許諾する。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q7jahu3n7ktb" w:id="11"/>
      <w:bookmarkEnd w:id="11"/>
      <w:r w:rsidDel="00000000" w:rsidR="00000000" w:rsidRPr="00000000">
        <w:rPr>
          <w:rFonts w:ascii="Arial Unicode MS" w:cs="Arial Unicode MS" w:eastAsia="Arial Unicode MS" w:hAnsi="Arial Unicode MS"/>
          <w:b w:val="1"/>
          <w:bCs w:val="1"/>
          <w:rtl w:val="0"/>
        </w:rPr>
        <w:t xml:space="preserve">第11条（報酬）</w:t>
      </w:r>
    </w:p>
    <w:p w:rsidR="00000000" w:rsidDel="00000000" w:rsidP="00000000" w:rsidRDefault="00000000" w:rsidRPr="00000000" w14:paraId="0000004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甲は、乙に対し、個別契約で定める報酬を支払う。</w:t>
      </w:r>
    </w:p>
    <w:p w:rsidR="00000000" w:rsidDel="00000000" w:rsidP="00000000" w:rsidRDefault="00000000" w:rsidRPr="00000000" w14:paraId="0000004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支払時期及び方法は、個別契約に定める。</w:t>
      </w:r>
    </w:p>
    <w:p w:rsidR="00000000" w:rsidDel="00000000" w:rsidP="00000000" w:rsidRDefault="00000000" w:rsidRPr="00000000" w14:paraId="0000004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4qt007j8yjjw"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49">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本契約の有効期間は、本契約締結日から1年間とする。</w:t>
      </w:r>
    </w:p>
    <w:p w:rsidR="00000000" w:rsidDel="00000000" w:rsidP="00000000" w:rsidRDefault="00000000" w:rsidRPr="00000000" w14:paraId="0000004A">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期間満了日の1か月前までに甲乙いずれからも書面による終了通知がない場合、本契約はさらに1年間更新されるものとし、以後も同様とする。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2pjb4er3eljt"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4D">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甲又は乙は、相手方が次の各号のいずれかに該当した場合、何らの催告なく直ちに本契約を解除できる。</w:t>
      </w:r>
    </w:p>
    <w:p w:rsidR="00000000" w:rsidDel="00000000" w:rsidP="00000000" w:rsidRDefault="00000000" w:rsidRPr="00000000" w14:paraId="0000004E">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4F">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50">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破産、民事再生、会社更生その他倒産手続開始の申立てがあった場合</w:t>
      </w:r>
    </w:p>
    <w:p w:rsidR="00000000" w:rsidDel="00000000" w:rsidP="00000000" w:rsidRDefault="00000000" w:rsidRPr="00000000" w14:paraId="00000051">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52">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前項による解除により損害が生じた場合、解除した当事者は相手方へ損害賠償を請求できる。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7qpcj5flcmne"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5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5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甲及び乙は、反社会的勢力との関係を有してはならない。</w:t>
      </w:r>
    </w:p>
    <w:p w:rsidR="00000000" w:rsidDel="00000000" w:rsidP="00000000" w:rsidRDefault="00000000" w:rsidRPr="00000000" w14:paraId="0000005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本条違反が判明した場合、相手方は何らの催告なく本契約を解除できる。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mudag1aioohl"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甲及び乙は、本契約違反により相手方へ損害を与えた場合、通常かつ直接の損害を賠償する責任を負う。</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7mcgx0h72d9u"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D">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乙によるリスク評価は、提供情報及び調査可能範囲に基づく合理的判断であり、将来発生する全てのリスクを完全に予見又は保証するものではない。</w:t>
      </w:r>
    </w:p>
    <w:p w:rsidR="00000000" w:rsidDel="00000000" w:rsidP="00000000" w:rsidRDefault="00000000" w:rsidRPr="00000000" w14:paraId="0000005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乙は、甲又は第三者の意思決定結果について責任を負わない。</w:t>
      </w:r>
    </w:p>
    <w:p w:rsidR="00000000" w:rsidDel="00000000" w:rsidP="00000000" w:rsidRDefault="00000000" w:rsidRPr="00000000" w14:paraId="0000005F">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天災、法令改正、国際情勢の変化その他乙の責に帰することのできない事由による損害について、乙は責任を負わない。</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cya84oy6gd3k"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本契約に定めのない事項又は本契約の解釈について疑義が生じた場合、甲乙は誠実に協議し解決する。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gho3jiyarnq2"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uz2mo3cqph2j" w:id="19"/>
      <w:bookmarkEnd w:id="19"/>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qg381xohnoab"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co2t7e8dlc5m"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w:t>
      </w:r>
    </w:p>
    <w:p w:rsidR="00000000" w:rsidDel="00000000" w:rsidP="00000000" w:rsidRDefault="00000000" w:rsidRPr="00000000" w14:paraId="0000007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