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u08m5sbjhu3" w:id="0"/>
      <w:bookmarkEnd w:id="0"/>
      <w:r w:rsidDel="00000000" w:rsidR="00000000" w:rsidRPr="00000000">
        <w:rPr>
          <w:rFonts w:ascii="Arial Unicode MS" w:cs="Arial Unicode MS" w:eastAsia="Arial Unicode MS" w:hAnsi="Arial Unicode MS"/>
          <w:b w:val="1"/>
          <w:bCs w:val="1"/>
          <w:sz w:val="44"/>
          <w:szCs w:val="44"/>
          <w:rtl w:val="0"/>
        </w:rPr>
        <w:t xml:space="preserve">弁護士費用に関する覚書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株式会社（以下「甲」という。）と、●●法律事務所（以下「乙」という。）との間において、乙が甲に対して提供する法律業務に関する弁護士費用の取扱いについて、以下のとおり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本覚書は、甲乙間で締結済みの顧問契約、業務委託契約、委任契約その他の契約（以下「原契約」という。）に付随するものとして適用される。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yxukjlbrvyq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本覚書は、乙が甲に提供する法律相談、契約書作成・レビュー、交渉、訴訟対応、法務調査その他の法律業務に関する費用、支払条件その他必要事項を明確にし、甲乙間の円滑な業務遂行を目的とする。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ffq7ljoo4o5e" w:id="2"/>
      <w:bookmarkEnd w:id="2"/>
      <w:r w:rsidDel="00000000" w:rsidR="00000000" w:rsidRPr="00000000">
        <w:rPr>
          <w:rFonts w:ascii="Arial Unicode MS" w:cs="Arial Unicode MS" w:eastAsia="Arial Unicode MS" w:hAnsi="Arial Unicode MS"/>
          <w:b w:val="1"/>
          <w:bCs w:val="1"/>
          <w:rtl w:val="0"/>
        </w:rPr>
        <w:t xml:space="preserve">第2条（対象業務）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乙が本覚書に基づき甲へ提供する業務は、次の各号に定めるものとする。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1．法律相談業務</w:t>
        <w:br w:type="textWrapping"/>
        <w:t xml:space="preserve">2．契約書作成及びリーガルチェック業務</w:t>
        <w:br w:type="textWrapping"/>
        <w:t xml:space="preserve">3．労務・コンプライアンス対応業務</w:t>
        <w:br w:type="textWrapping"/>
        <w:t xml:space="preserve">4．内容証明郵便その他通知書作成業務</w:t>
        <w:br w:type="textWrapping"/>
        <w:t xml:space="preserve">5．交渉代理業務</w:t>
        <w:br w:type="textWrapping"/>
        <w:t xml:space="preserve">6．訴訟、調停、仲裁その他紛争解決手続に関する業務</w:t>
        <w:br w:type="textWrapping"/>
        <w:t xml:space="preserve">7．その他甲乙協議のうえ定める法律関連業務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ffru7dzfln8k" w:id="3"/>
      <w:bookmarkEnd w:id="3"/>
      <w:r w:rsidDel="00000000" w:rsidR="00000000" w:rsidRPr="00000000">
        <w:rPr>
          <w:rFonts w:ascii="Arial Unicode MS" w:cs="Arial Unicode MS" w:eastAsia="Arial Unicode MS" w:hAnsi="Arial Unicode MS"/>
          <w:b w:val="1"/>
          <w:bCs w:val="1"/>
          <w:rtl w:val="0"/>
        </w:rPr>
        <w:t xml:space="preserve">第3条（弁護士費用）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1．甲は乙に対し、法律業務の対価として、次の各号に定める費用を支払う。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（1）顧問料</w:t>
        <w:br w:type="textWrapping"/>
        <w:t xml:space="preserve">（月額）金●●円（消費税別）</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（2）スポット業務費用</w:t>
        <w:br w:type="textWrapping"/>
        <w:t xml:space="preserve">個別案件ごとに甲乙協議のうえ定める。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（3）着手金</w:t>
        <w:br w:type="textWrapping"/>
        <w:t xml:space="preserve">訴訟、交渉その他個別案件について着手時に支払う費用として、別途定める金額。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（4）報酬金</w:t>
        <w:br w:type="textWrapping"/>
        <w:t xml:space="preserve">案件終了時の成果に応じて発生する費用として、別途定める金額。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（5）日当</w:t>
        <w:br w:type="textWrapping"/>
        <w:t xml:space="preserve">出張、裁判所出廷、現地対応等が必要となる場合、1日あたり金●●円を基準として別途請求できるものとする。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（6）実費</w:t>
        <w:br w:type="textWrapping"/>
        <w:t xml:space="preserve">印紙代、郵送費、交通費、宿泊費、謄写費、翻訳費、外部専門家費用その他業務遂行上必要となる費用。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2．前項各号の費用には、別途消費税及び地方消費税が加算される。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seuw57dtbxwu" w:id="4"/>
      <w:bookmarkEnd w:id="4"/>
      <w:r w:rsidDel="00000000" w:rsidR="00000000" w:rsidRPr="00000000">
        <w:rPr>
          <w:rFonts w:ascii="Arial Unicode MS" w:cs="Arial Unicode MS" w:eastAsia="Arial Unicode MS" w:hAnsi="Arial Unicode MS"/>
          <w:b w:val="1"/>
          <w:bCs w:val="1"/>
          <w:rtl w:val="0"/>
        </w:rPr>
        <w:t xml:space="preserve">第4条（支払方法）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1．甲は、乙からの請求書受領後●日以内に、乙指定の銀行口座へ振込送金により支払うものとする。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3．甲が支払期限を経過しても支払を行わない場合、甲は乙に対し、年●％の割合による遅延損害金を支払うものとする。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8dlkmrpyd27f" w:id="5"/>
      <w:bookmarkEnd w:id="5"/>
      <w:r w:rsidDel="00000000" w:rsidR="00000000" w:rsidRPr="00000000">
        <w:rPr>
          <w:rFonts w:ascii="Arial Unicode MS" w:cs="Arial Unicode MS" w:eastAsia="Arial Unicode MS" w:hAnsi="Arial Unicode MS"/>
          <w:b w:val="1"/>
          <w:bCs w:val="1"/>
          <w:rtl w:val="0"/>
        </w:rPr>
        <w:t xml:space="preserve">第5条（追加費用）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1．当初予定していた業務範囲を超える対応が必要となった場合、乙は甲へ事前通知のうえ、追加費用を請求することができる。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2．甲乙は、追加費用の発生見込みがある場合には、誠実に協議を行うものとする。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ueoynsygs3sw" w:id="6"/>
      <w:bookmarkEnd w:id="6"/>
      <w:r w:rsidDel="00000000" w:rsidR="00000000" w:rsidRPr="00000000">
        <w:rPr>
          <w:rFonts w:ascii="Arial Unicode MS" w:cs="Arial Unicode MS" w:eastAsia="Arial Unicode MS" w:hAnsi="Arial Unicode MS"/>
          <w:b w:val="1"/>
          <w:bCs w:val="1"/>
          <w:rtl w:val="0"/>
        </w:rPr>
        <w:t xml:space="preserve">第6条（成功報酬）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1．乙が担当する案件において、和解成立、損害賠償金回収、契約締結成立その他成果が生じた場合、甲は乙へ成功報酬を支払う。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2．成功報酬額は、回収額、経済的利益その他案件内容を踏まえ、別途協議のうえ定める。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jdvzw81p87fo" w:id="7"/>
      <w:bookmarkEnd w:id="7"/>
      <w:r w:rsidDel="00000000" w:rsidR="00000000" w:rsidRPr="00000000">
        <w:rPr>
          <w:rFonts w:ascii="Arial Unicode MS" w:cs="Arial Unicode MS" w:eastAsia="Arial Unicode MS" w:hAnsi="Arial Unicode MS"/>
          <w:b w:val="1"/>
          <w:bCs w:val="1"/>
          <w:rtl w:val="0"/>
        </w:rPr>
        <w:t xml:space="preserve">第7条（中途終了）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1．甲又は乙は、相手方が本覚書又は原契約に違反し、相当期間を定めて催告したにもかかわらず是正されない場合、本覚書を解除することができる。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2．案件進行中に甲の都合により契約が終了した場合であっても、乙は既に実施済み業務に相当する費用を請求できるものとする。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3．着手済み案件については、乙は作業進捗に応じた報酬及び実費を請求することができる。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whgrqzw2iof1"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甲及び乙は、業務遂行上知り得た相手方の営業上、技術上その他一切の非公知情報について、相手方の事前承諾なく第三者へ開示又は漏えいしてはならない。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92c5fu6f9cdj" w:id="9"/>
      <w:bookmarkEnd w:id="9"/>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1．甲及び乙は、自ら又は関係者が反社会的勢力に該当しないことを表明し保証する。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2．相手方が反社会的勢力に関与していることが判明した場合、何らの催告を要せず本覚書を解除できる。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3buam7qsq01j"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本覚書に定めのない事項又は疑義が生じた場合、甲乙は誠意をもって協議し、解決を図るものとする。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i8jtk3km4vjl" w:id="11"/>
      <w:bookmarkEnd w:id="11"/>
      <w:r w:rsidDel="00000000" w:rsidR="00000000" w:rsidRPr="00000000">
        <w:rPr>
          <w:rFonts w:ascii="Arial Unicode MS" w:cs="Arial Unicode MS" w:eastAsia="Arial Unicode MS" w:hAnsi="Arial Unicode MS"/>
          <w:b w:val="1"/>
          <w:bCs w:val="1"/>
          <w:rtl w:val="0"/>
        </w:rPr>
        <w:t xml:space="preserve">第11条（合意管轄）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本覚書に関して紛争が生じた場合、●●地方裁判所又は●●簡易裁判所を第一審の専属的合意管轄裁判所とする。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法律事務所名：</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弁護士名：　　　　　　　　　　　　印</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