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r8u8xdieawuy" w:id="0"/>
      <w:bookmarkEnd w:id="0"/>
      <w:r w:rsidDel="00000000" w:rsidR="00000000" w:rsidRPr="00000000">
        <w:rPr>
          <w:rFonts w:ascii="Arial Unicode MS" w:cs="Arial Unicode MS" w:eastAsia="Arial Unicode MS" w:hAnsi="Arial Unicode MS"/>
          <w:b w:val="1"/>
          <w:bCs w:val="1"/>
          <w:sz w:val="42"/>
          <w:szCs w:val="42"/>
          <w:rtl w:val="0"/>
        </w:rPr>
        <w:t xml:space="preserve">ライフプラン・資産形成アドバイザリー契約書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フプラン・資産形成アドバイザリー契約書（以下「本契約」という。）は、資産形成、家計改善、ライフプラン設計、保険・住宅ローン・教育資金・老後資金等に関する助言及び情報提供業務について、委託者とアドバイザーとの間の権利義務関係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●●（以下「甲」という。）と、●●（以下「乙」という。）は、ライフプラン及び資産形成に関するアドバイザリー業務について、以下のとおり契約を締結する。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he1ydkxhwswe"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本契約は、乙が甲に対し、家計管理、資産形成、ライフプラン設計、金融知識の提供その他これらに付随する助言業務を行うにあたり、その条件及び権利義務関係を定めることを目的とする。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pyts8lxpdcrq"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1．乙は、甲に対し、次の各号に定める業務を提供する。</w:t>
        <w:br w:type="textWrapping"/>
        <w:t xml:space="preserve">(1) 家計収支分析及び改善提案</w:t>
        <w:br w:type="textWrapping"/>
        <w:t xml:space="preserve">(2) ライフイベントに基づく資金計画作成</w:t>
        <w:br w:type="textWrapping"/>
        <w:t xml:space="preserve">(3) 教育資金、住宅資金、老後資金等に関する助言</w:t>
        <w:br w:type="textWrapping"/>
        <w:t xml:space="preserve">(4) 保険、投資信託、NISA、iDeCo等に関する一般的情報提供</w:t>
        <w:br w:type="textWrapping"/>
        <w:t xml:space="preserve">(5) 資産形成方針の整理及び継続支援</w:t>
        <w:br w:type="textWrapping"/>
        <w:t xml:space="preserve">(6) 前各号に付随関連する業務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2．乙は、金融商品仲介業、投資助言・代理業、保険募集業その他法令上の登録又は許可を要する行為を行わないものとする。ただし、乙が適法な資格又は登録を有する場合はこの限りでない。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85vl9hrfykbs"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1．本契約の有効期間は、契約締結日から●か月間とする。</w:t>
        <w:br w:type="textWrapping"/>
        <w:t xml:space="preserve">2．期間満了の1か月前までに甲乙いずれからも書面又は電磁的方法による異議がない場合、本契約は同一条件でさらに●か月更新されるものとし、以後も同様とする。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wy22jyxv97ao"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1．甲は乙に対し、本業務の対価として、月額●円（税込）を支払う。</w:t>
        <w:br w:type="textWrapping"/>
        <w:t xml:space="preserve">2．支払方法は、銀行振込その他甲乙協議により定める方法による。</w:t>
        <w:br w:type="textWrapping"/>
        <w:t xml:space="preserve">3．振込手数料は甲の負担とする。</w:t>
        <w:br w:type="textWrapping"/>
        <w:t xml:space="preserve">4．面談交通費、外部調査費その他特別費用が発生する場合、乙は事前に甲へ通知し、甲の承諾を得たうえで請求できるものとする。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71tnxyfsy5g0"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第5条（資料提供及び協力義務）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1．甲は、乙による助言に必要な範囲で、収入、支出、資産状況、保険契約、ローン契約その他必要資料を乙へ提供するものとする。</w:t>
        <w:br w:type="textWrapping"/>
        <w:t xml:space="preserve">2．甲は、提供資料の内容について真実かつ正確であることを保証する。</w:t>
        <w:br w:type="textWrapping"/>
        <w:t xml:space="preserve">3．乙は、甲から提供された資料を本契約の目的以外に使用してはならない。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vgamtodea2g9"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第6条（秘密保持）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1．甲及び乙は、本契約に関連して知り得た相手方の個人情報、資産情報、営業上又は私生活上の情報を第三者へ漏えいしてはならない。</w:t>
        <w:br w:type="textWrapping"/>
        <w:t xml:space="preserve">2．前項の義務は、本契約終了後も●年間存続する。</w:t>
        <w:br w:type="textWrapping"/>
        <w:t xml:space="preserve">3．法令に基づく開示請求がある場合はこの限りでない。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8475lyvpk5gy"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1．乙は、甲の個人情報を個人情報保護法その他関連法令に従って適切に管理する。</w:t>
        <w:br w:type="textWrapping"/>
        <w:t xml:space="preserve">2．乙は、甲の事前承諾なく、個人情報を第三者へ提供してはならない。</w:t>
        <w:br w:type="textWrapping"/>
        <w:t xml:space="preserve">3．乙は、業務遂行上必要な範囲でのみ個人情報を利用する。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vegx7t27vjg3"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第8条（助言に関する確認事項）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1．乙が行う助言は、一般的な情報提供及びライフプラン設計支援を目的とするものであり、特定の金融商品の取得又は売却を勧誘するものではない。</w:t>
        <w:br w:type="textWrapping"/>
        <w:t xml:space="preserve">2．投資判断、保険加入、借入その他最終的な意思決定は甲自身の責任において行うものとする。</w:t>
        <w:br w:type="textWrapping"/>
        <w:t xml:space="preserve">3．乙は、資産運用成果、投資利益、節税効果その他将来結果を保証しない。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56ixeztmpzry"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乙は、本業務の全部又は一部を第三者へ再委託する場合、甲の事前承諾を得るものとする。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rj4byxglf4sb"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甲及び乙は、次の各号に該当する行為を行ってはならない。</w:t>
        <w:br w:type="textWrapping"/>
        <w:t xml:space="preserve">(1) 法令又は公序良俗に反する行為</w:t>
        <w:br w:type="textWrapping"/>
        <w:t xml:space="preserve">(2) 相手方の信用を毀損する行為</w:t>
        <w:br w:type="textWrapping"/>
        <w:t xml:space="preserve">(3) 虚偽情報の提供</w:t>
        <w:br w:type="textWrapping"/>
        <w:t xml:space="preserve">(4) 本契約上の権利義務を無断で第三者へ譲渡する行為</w:t>
        <w:br w:type="textWrapping"/>
        <w:t xml:space="preserve">(5) その他本契約の目的に反する行為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c1kt159o75bz"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1．甲又は乙は、相手方が本契約に違反し、相当期間を定めて是正催告をしたにもかかわらず改善されない場合、本契約を解除できる。</w:t>
        <w:br w:type="textWrapping"/>
        <w:t xml:space="preserve">2．甲又は乙に次の事由が生じた場合、催告なく直ちに解除できる。</w:t>
        <w:br w:type="textWrapping"/>
        <w:t xml:space="preserve">(1) 差押え、仮差押え、破産、民事再生等の申立てがあった場合</w:t>
        <w:br w:type="textWrapping"/>
        <w:t xml:space="preserve">(2) 反社会的勢力との関係が判明した場合</w:t>
        <w:br w:type="textWrapping"/>
        <w:t xml:space="preserve">(3) 信用状態が著しく悪化した場合</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on8h021oesai"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br w:type="textWrapping"/>
        <w:t xml:space="preserve">2．前項に違反した場合、相手方は催告なく本契約を解除できる。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q0fgaas026op"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甲又は乙が本契約に違反し、相手方へ損害を与えた場合、その通常かつ直接の損害を賠償する責任を負う。</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j3kzyczf4wnr"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第14条（免責）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1．乙は、甲による投資判断、保険加入、住宅購入その他意思決定に関して、その結果を保証しない。</w:t>
        <w:br w:type="textWrapping"/>
        <w:t xml:space="preserve">2．経済情勢、税制改正、市場変動、法改正等により甲へ損害が生じた場合であっても、乙に故意又は重過失がない限り責任を負わない。</w:t>
        <w:br w:type="textWrapping"/>
        <w:t xml:space="preserve">3．乙が提供する情報は、作成時点の情報に基づくものであり、将来にわたり完全性・正確性を保証するものではない。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6ew9osk7oh98"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g0ty582ly9kc"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第16条（合意管轄）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