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家族資産共有ポリシー覚書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家族間における資産情報、金融情報、不動産情報その他重要情報の共有及び管理方針に関し、当事者間で認識を統一し、円滑な資産承継及びトラブル防止を図ることを目的として、以下のとおり家族資産共有ポリシー覚書（以下「本覚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ujxlbr634h0w" w:id="0"/>
      <w:bookmarkEnd w:id="0"/>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家族間において資産情報を適切に共有し、将来の相続、介護、資産管理、緊急時対応その他の家庭内課題に備えるため、資産情報の共有範囲、管理方法、秘密保持及び利用方針等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iyk6p1mbzb0v" w:id="1"/>
      <w:bookmarkEnd w:id="1"/>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本覚書において使用する用語の定義は、以下のとおりとする。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1．「共有資産情報」とは、以下の情報をいう。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・預貯金口座情報</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・有価証券・投資信託・暗号資産等の金融資産情報</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・不動産情報</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・保険契約情報</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・ローン・借入等の負債情報</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・相続関連情報</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・重要契約書・権利証・電子データ等</w:t>
      </w:r>
    </w:p>
    <w:p w:rsidR="00000000" w:rsidDel="00000000" w:rsidP="00000000" w:rsidRDefault="00000000" w:rsidRPr="00000000" w14:paraId="00000012">
      <w:pPr>
        <w:spacing w:after="240" w:before="240" w:lineRule="auto"/>
        <w:rPr>
          <w:sz w:val="16"/>
          <w:szCs w:val="16"/>
        </w:rPr>
      </w:pPr>
      <w:r w:rsidDel="00000000" w:rsidR="00000000" w:rsidRPr="00000000">
        <w:rPr>
          <w:rFonts w:ascii="Arial Unicode MS" w:cs="Arial Unicode MS" w:eastAsia="Arial Unicode MS" w:hAnsi="Arial Unicode MS"/>
          <w:sz w:val="20"/>
          <w:szCs w:val="20"/>
          <w:rtl w:val="0"/>
        </w:rPr>
        <w:t xml:space="preserve">・その他当事者が共有対象として合意した情報</w:t>
      </w: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2．「管理者」とは、共有資産情報の取りまとめ及び保管を担当する者をいう。</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3．「共有者」とは、本覚書に基づき共有資産情報の提供又は閲覧を行う家族をいう。</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sc0gbj30jw1m" w:id="2"/>
      <w:bookmarkEnd w:id="2"/>
      <w:r w:rsidDel="00000000" w:rsidR="00000000" w:rsidRPr="00000000">
        <w:rPr>
          <w:rFonts w:ascii="Arial Unicode MS" w:cs="Arial Unicode MS" w:eastAsia="Arial Unicode MS" w:hAnsi="Arial Unicode MS"/>
          <w:b w:val="1"/>
          <w:bCs w:val="1"/>
          <w:rtl w:val="0"/>
        </w:rPr>
        <w:t xml:space="preserve">第3条（共有対象資産）</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当事者は、以下の資産又は情報を必要に応じて共有するものとする。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・銀行口座及び証券口座の存在</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・不動産所在地及び権利関係</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・生命保険及び損害保険の契約状況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・定期支払契約及び公共料金契約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・デジタル資産及びオンラインアカウント管理情報</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・相続対策に関する意向</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color w:val="ffffff"/>
          <w:sz w:val="24"/>
          <w:szCs w:val="24"/>
          <w:rtl w:val="0"/>
        </w:rPr>
        <w:t xml:space="preserve">・遺言書、エンディングノート等の保管場所</w: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yk5jsqy2s4ln" w:id="3"/>
      <w:bookmarkEnd w:id="3"/>
      <w:r w:rsidDel="00000000" w:rsidR="00000000" w:rsidRPr="00000000">
        <w:rPr>
          <w:rFonts w:ascii="Arial Unicode MS" w:cs="Arial Unicode MS" w:eastAsia="Arial Unicode MS" w:hAnsi="Arial Unicode MS"/>
          <w:b w:val="1"/>
          <w:bCs w:val="1"/>
          <w:rtl w:val="0"/>
        </w:rPr>
        <w:t xml:space="preserve">第4条（共有方法）</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1．共有資産情報は、書面、電子データ、クラウドストレージその他当事者が合意した方法により管理する。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2．管理者は、共有資産情報を最新の状態に維持するよう努めるものとする。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3．共有資産情報の更新があった場合、当事者は合理的期間内に他の共有者へ通知するよう努める。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al9uvu6apqlg" w:id="4"/>
      <w:bookmarkEnd w:id="4"/>
      <w:r w:rsidDel="00000000" w:rsidR="00000000" w:rsidRPr="00000000">
        <w:rPr>
          <w:rFonts w:ascii="Arial Unicode MS" w:cs="Arial Unicode MS" w:eastAsia="Arial Unicode MS" w:hAnsi="Arial Unicode MS"/>
          <w:b w:val="1"/>
          <w:bCs w:val="1"/>
          <w:rtl w:val="0"/>
        </w:rPr>
        <w:t xml:space="preserve">第5条（秘密保持）</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1．共有者は、共有資産情報を第三者へ漏えいしてはならない。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2．共有者は、共有資産情報を本覚書の目的以外に利用してはならない。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3．以下の情報は秘密保持義務の対象外とする。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・既に公知となっている情報</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・法令又は裁判所命令等により開示が必要な情報</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・本人の事前承諾がある情報</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・正当な権限を有する第三者から適法に取得した情報</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gkas9v3ofx9b" w:id="5"/>
      <w:bookmarkEnd w:id="5"/>
      <w:r w:rsidDel="00000000" w:rsidR="00000000" w:rsidRPr="00000000">
        <w:rPr>
          <w:rFonts w:ascii="Arial Unicode MS" w:cs="Arial Unicode MS" w:eastAsia="Arial Unicode MS" w:hAnsi="Arial Unicode MS"/>
          <w:b w:val="1"/>
          <w:bCs w:val="1"/>
          <w:rtl w:val="0"/>
        </w:rPr>
        <w:t xml:space="preserve">第6条（閲覧制限）</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1．当事者は、特定の資産情報について閲覧権限を制限することができる。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2．閲覧制限を設ける場合、対象情報及び閲覧可能者を明確に定めるものとする。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q06a9o65f6wx" w:id="6"/>
      <w:bookmarkEnd w:id="6"/>
      <w:r w:rsidDel="00000000" w:rsidR="00000000" w:rsidRPr="00000000">
        <w:rPr>
          <w:rFonts w:ascii="Arial Unicode MS" w:cs="Arial Unicode MS" w:eastAsia="Arial Unicode MS" w:hAnsi="Arial Unicode MS"/>
          <w:b w:val="1"/>
          <w:bCs w:val="1"/>
          <w:rtl w:val="0"/>
        </w:rPr>
        <w:t xml:space="preserve">第7条（デジタル資産管理）</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1．当事者は、オンラインバンキング、証券アプリ、クラウドストレージその他デジタル資産について、必要に応じ管理方法を共有する。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2．パスワードその他認証情報の共有に際しては、安全管理措置を講じるものとする。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3．管理者は、不正アクセス防止及び情報漏えい防止に合理的な注意を払うものとする。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402xel5lw5m3" w:id="7"/>
      <w:bookmarkEnd w:id="7"/>
      <w:r w:rsidDel="00000000" w:rsidR="00000000" w:rsidRPr="00000000">
        <w:rPr>
          <w:rFonts w:ascii="Arial Unicode MS" w:cs="Arial Unicode MS" w:eastAsia="Arial Unicode MS" w:hAnsi="Arial Unicode MS"/>
          <w:b w:val="1"/>
          <w:bCs w:val="1"/>
          <w:rtl w:val="0"/>
        </w:rPr>
        <w:t xml:space="preserve">第8条（緊急時対応）</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1．病気、事故、認知機能低下その他緊急事態が発生した場合、共有者は本覚書に基づき共有資産情報を利用できるものとする。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2．前項の場合であっても、法令上必要な手続がある場合には、それに従うものとする。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x07wx6b6opg0" w:id="8"/>
      <w:bookmarkEnd w:id="8"/>
      <w:r w:rsidDel="00000000" w:rsidR="00000000" w:rsidRPr="00000000">
        <w:rPr>
          <w:rFonts w:ascii="Arial Unicode MS" w:cs="Arial Unicode MS" w:eastAsia="Arial Unicode MS" w:hAnsi="Arial Unicode MS"/>
          <w:b w:val="1"/>
          <w:bCs w:val="1"/>
          <w:rtl w:val="0"/>
        </w:rPr>
        <w:t xml:space="preserve">第9条（相続及び承継に関する確認）</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1．本覚書は、遺言書その他法的効力を有する相続関連文書を代替するものではない。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2．当事者は、必要に応じて弁護士、司法書士、税理士その他専門家へ相談するものとする。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x0wt06qji6r4" w:id="9"/>
      <w:bookmarkEnd w:id="9"/>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共有者は、以下の行為を行ってはならない。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・共有資産情報の無断持出し</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・第三者への不正開示</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・不正利用又は私的流用</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・本人の意思に反する資産処分</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・不正アクセス又は改ざん行為</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mfmklhqxft2g" w:id="10"/>
      <w:bookmarkEnd w:id="10"/>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共有者が本覚書に違反し、他の当事者に損害を与えた場合、故意又は重大な過失がある場合に限り、その損害を賠償する責任を負う。</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vy2826thdq5a" w:id="11"/>
      <w:bookmarkEnd w:id="11"/>
      <w:r w:rsidDel="00000000" w:rsidR="00000000" w:rsidRPr="00000000">
        <w:rPr>
          <w:rFonts w:ascii="Arial Unicode MS" w:cs="Arial Unicode MS" w:eastAsia="Arial Unicode MS" w:hAnsi="Arial Unicode MS"/>
          <w:b w:val="1"/>
          <w:bCs w:val="1"/>
          <w:rtl w:val="0"/>
        </w:rPr>
        <w:t xml:space="preserve">第12条（有効期間）</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1．本覚書の有効期間は、締結日から1年間とする。</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2．期間満了日の1か月前までに当事者から書面による終了意思表示がない場合、本覚書は同一条件にて1年間更新されるものとし、以後も同様とする。</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np2xv3wnmre0" w:id="12"/>
      <w:bookmarkEnd w:id="12"/>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本覚書に定めのない事項又は疑義が生じた場合、当事者は誠実に協議の上、解決するものとする。</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suy1u2jm2sr2" w:id="13"/>
      <w:bookmarkEnd w:id="13"/>
      <w:r w:rsidDel="00000000" w:rsidR="00000000" w:rsidRPr="00000000">
        <w:rPr>
          <w:rFonts w:ascii="Arial Unicode MS" w:cs="Arial Unicode MS" w:eastAsia="Arial Unicode MS" w:hAnsi="Arial Unicode MS"/>
          <w:b w:val="1"/>
          <w:bCs w:val="1"/>
          <w:rtl w:val="0"/>
        </w:rPr>
        <w:t xml:space="preserve">第14条（合意管轄）</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本覚書に関して紛争が生じた場合、当事者の住所地を管轄する地方裁判所を第一審の合意管轄裁判所とする。</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kdgbfs2rqq0k" w:id="14"/>
      <w:bookmarkEnd w:id="14"/>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当事者は、自ら又はその関係者が反社会的勢力に該当しないことを表明し、将来にわたっても関与しないことを保証する。</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以上、本覚書締結の証として、本書を作成し、各当事者が署名又は記名押印のうえ、各自1通を保有する。</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　　　年　　　月　　　日</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　　　　　　　　　　　　　　　印</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　　　　　　　　　　　　　　　印</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丙</w:t>
        <w:br w:type="textWrapping"/>
        <w:t xml:space="preserve">住所：</w:t>
        <w:br w:type="textWrapping"/>
        <w:t xml:space="preserve">氏名：　　　　　　　　　　　　　　　印</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