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ht1pa7fxse5" w:id="0"/>
      <w:bookmarkEnd w:id="0"/>
      <w:r w:rsidDel="00000000" w:rsidR="00000000" w:rsidRPr="00000000">
        <w:rPr>
          <w:rFonts w:ascii="Arial Unicode MS" w:cs="Arial Unicode MS" w:eastAsia="Arial Unicode MS" w:hAnsi="Arial Unicode MS"/>
          <w:b w:val="1"/>
          <w:bCs w:val="1"/>
          <w:sz w:val="44"/>
          <w:szCs w:val="44"/>
          <w:rtl w:val="0"/>
        </w:rPr>
        <w:t xml:space="preserve">インプラント治療同意書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ンプラント治療同意書（以下「本同意書」といいます。）は、患者（以下「甲」といいます。）が、医療機関（以下「乙」といいます。）よりインプラント治療に関する説明を受け、その内容を理解し、自己の意思に基づいて治療を受けることに同意するための書面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pw1aktya0z" w:id="1"/>
      <w:bookmarkEnd w:id="1"/>
      <w:r w:rsidDel="00000000" w:rsidR="00000000" w:rsidRPr="00000000">
        <w:rPr>
          <w:rFonts w:ascii="Arial Unicode MS" w:cs="Arial Unicode MS" w:eastAsia="Arial Unicode MS" w:hAnsi="Arial Unicode MS"/>
          <w:b w:val="1"/>
          <w:bCs w:val="1"/>
          <w:rtl w:val="0"/>
        </w:rPr>
        <w:t xml:space="preserve">第1条（治療内容）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乙は、甲に対し、歯科インプラント治療として以下の内容を実施します。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・インプラント埋入手術</w:t>
        <w:br w:type="textWrapping"/>
        <w:t xml:space="preserve">・人工歯根の装着</w:t>
        <w:br w:type="textWrapping"/>
        <w:t xml:space="preserve">・上部構造（人工歯）の作製及び装着</w:t>
        <w:br w:type="textWrapping"/>
        <w:t xml:space="preserve">・必要に応じた骨造成、抜歯、仮歯作製その他付随処置</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具体的な治療部位、使用材料、治療期間及び費用については、別途提示される治療計画書によるものとします。</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d3d82qpes5i1" w:id="2"/>
      <w:bookmarkEnd w:id="2"/>
      <w:r w:rsidDel="00000000" w:rsidR="00000000" w:rsidRPr="00000000">
        <w:rPr>
          <w:rFonts w:ascii="Arial Unicode MS" w:cs="Arial Unicode MS" w:eastAsia="Arial Unicode MS" w:hAnsi="Arial Unicode MS"/>
          <w:b w:val="1"/>
          <w:bCs w:val="1"/>
          <w:rtl w:val="0"/>
        </w:rPr>
        <w:t xml:space="preserve">第2条（治療の特性及び限界）</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甲は、インプラント治療について以下の説明を受け、理解したうえで同意します。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・インプラント治療は外科手術を伴う自由診療であること</w:t>
        <w:br w:type="textWrapping"/>
        <w:t xml:space="preserve">・治療結果には個人差があり、必ずしも長期的成功を保証するものではないこと</w:t>
        <w:br w:type="textWrapping"/>
        <w:t xml:space="preserve">・口腔内環境、全身疾患、喫煙習慣、生活習慣等により治療結果に影響が生じる場合があること</w:t>
        <w:br w:type="textWrapping"/>
        <w:t xml:space="preserve">・定期的なメンテナンスが必要であること</w:t>
        <w:br w:type="textWrapping"/>
        <w:t xml:space="preserve">・天然歯と同等の機能及び耐久性を完全に保証するものではないこと</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uowdptf3n7jp" w:id="3"/>
      <w:bookmarkEnd w:id="3"/>
      <w:r w:rsidDel="00000000" w:rsidR="00000000" w:rsidRPr="00000000">
        <w:rPr>
          <w:rFonts w:ascii="Arial Unicode MS" w:cs="Arial Unicode MS" w:eastAsia="Arial Unicode MS" w:hAnsi="Arial Unicode MS"/>
          <w:b w:val="1"/>
          <w:bCs w:val="1"/>
          <w:rtl w:val="0"/>
        </w:rPr>
        <w:t xml:space="preserve">第3条（想定されるリスク及び副作用）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甲は、乙より以下のリスク及び副作用について説明を受けたことを確認します。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・術後の疼痛、腫脹、出血、内出血</w:t>
        <w:br w:type="textWrapping"/>
        <w:t xml:space="preserve">・感染症の発生</w:t>
        <w:br w:type="textWrapping"/>
        <w:t xml:space="preserve">・神経損傷によるしびれ、知覚異常</w:t>
        <w:br w:type="textWrapping"/>
        <w:t xml:space="preserve">・上顎洞への影響</w:t>
        <w:br w:type="textWrapping"/>
        <w:t xml:space="preserve">・インプラント体の脱落又は破損</w:t>
        <w:br w:type="textWrapping"/>
        <w:t xml:space="preserve">・噛み合わせ不良</w:t>
        <w:br w:type="textWrapping"/>
        <w:t xml:space="preserve">・金属アレルギー等の身体反応</w:t>
        <w:br w:type="textWrapping"/>
        <w:t xml:space="preserve">・予後不良による再治療の必要性</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fwdsunm9cz5" w:id="4"/>
      <w:bookmarkEnd w:id="4"/>
      <w:r w:rsidDel="00000000" w:rsidR="00000000" w:rsidRPr="00000000">
        <w:rPr>
          <w:rFonts w:ascii="Arial Unicode MS" w:cs="Arial Unicode MS" w:eastAsia="Arial Unicode MS" w:hAnsi="Arial Unicode MS"/>
          <w:b w:val="1"/>
          <w:bCs w:val="1"/>
          <w:rtl w:val="0"/>
        </w:rPr>
        <w:t xml:space="preserve">第4条（治療費及び支払）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甲は、インプラント治療が原則として健康保険適用外の自由診療であることを理解し、乙所定の費用を支払うものとします。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追加処置、再治療、部材変更その他当初予定外の治療が必要となった場合には、別途費用が発生する場合があります。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2dybcij8wggq" w:id="5"/>
      <w:bookmarkEnd w:id="5"/>
      <w:r w:rsidDel="00000000" w:rsidR="00000000" w:rsidRPr="00000000">
        <w:rPr>
          <w:rFonts w:ascii="Arial Unicode MS" w:cs="Arial Unicode MS" w:eastAsia="Arial Unicode MS" w:hAnsi="Arial Unicode MS"/>
          <w:b w:val="1"/>
          <w:bCs w:val="1"/>
          <w:rtl w:val="0"/>
        </w:rPr>
        <w:t xml:space="preserve">第5条（通院及びメンテナンス）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甲は、乙が指定する通院日程及び術後メンテナンスに協力するものとします。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甲が定期的なメンテナンスを受けなかった場合、乙は治療後の経過保証又は補償対応を行わないことがあります。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z2xmubc9904e" w:id="6"/>
      <w:bookmarkEnd w:id="6"/>
      <w:r w:rsidDel="00000000" w:rsidR="00000000" w:rsidRPr="00000000">
        <w:rPr>
          <w:rFonts w:ascii="Arial Unicode MS" w:cs="Arial Unicode MS" w:eastAsia="Arial Unicode MS" w:hAnsi="Arial Unicode MS"/>
          <w:b w:val="1"/>
          <w:bCs w:val="1"/>
          <w:rtl w:val="0"/>
        </w:rPr>
        <w:t xml:space="preserve">第6条（治療中断）</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甲が自己都合により治療を中断した場合、既に実施済みの治療費について返金されない場合があることを甲は了承します。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9kojyuav16xf" w:id="7"/>
      <w:bookmarkEnd w:id="7"/>
      <w:r w:rsidDel="00000000" w:rsidR="00000000" w:rsidRPr="00000000">
        <w:rPr>
          <w:rFonts w:ascii="Arial Unicode MS" w:cs="Arial Unicode MS" w:eastAsia="Arial Unicode MS" w:hAnsi="Arial Unicode MS"/>
          <w:b w:val="1"/>
          <w:bCs w:val="1"/>
          <w:rtl w:val="0"/>
        </w:rPr>
        <w:t xml:space="preserve">第7条（写真・資料利用）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乙は、治療記録、症例研究、学会発表、院内教育等を目的として、甲の口腔内写真、レントゲン画像その他資料を利用する場合があります。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ただし、個人を特定できる情報は匿名化その他適切な方法により管理するものとします。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a2at67g925lu"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乙は、甲の個人情報を、診療、会計、予約管理、法令対応その他医療機関運営に必要な範囲で適切に取り扱うものとします。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7b26bck26fmp" w:id="9"/>
      <w:bookmarkEnd w:id="9"/>
      <w:r w:rsidDel="00000000" w:rsidR="00000000" w:rsidRPr="00000000">
        <w:rPr>
          <w:rFonts w:ascii="Arial Unicode MS" w:cs="Arial Unicode MS" w:eastAsia="Arial Unicode MS" w:hAnsi="Arial Unicode MS"/>
          <w:b w:val="1"/>
          <w:bCs w:val="1"/>
          <w:rtl w:val="0"/>
        </w:rPr>
        <w:t xml:space="preserve">第9条（説明確認及び同意）</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よりインプラント治療の内容、必要性、方法、期間、費用、リスク及び代替治療方法等について十分な説明を受け、質問の機会が与えられ、内容を理解したうえで、自らの意思により本治療を受けることに同意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4"/>
          <w:szCs w:val="24"/>
        </w:rPr>
      </w:pPr>
      <w:bookmarkStart w:colFirst="0" w:colLast="0" w:name="_uofzp0bwzr5a"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甲（患者）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smwyv0432z7q"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乙（医療機関）</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医療機関名：　　　　　　　　　　　　</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　　　　　　　　　　　　　　</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担当医師名：　　　　　　　　　　　　</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説明日：　　　年　　　月　　　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