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99ftqblfpk6" w:id="0"/>
      <w:bookmarkEnd w:id="0"/>
      <w:r w:rsidDel="00000000" w:rsidR="00000000" w:rsidRPr="00000000">
        <w:rPr>
          <w:rFonts w:ascii="Arial Unicode MS" w:cs="Arial Unicode MS" w:eastAsia="Arial Unicode MS" w:hAnsi="Arial Unicode MS"/>
          <w:b w:val="1"/>
          <w:bCs w:val="1"/>
          <w:sz w:val="44"/>
          <w:szCs w:val="44"/>
          <w:rtl w:val="0"/>
        </w:rPr>
        <w:t xml:space="preserve">ホワイトニング治療同意書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ホワイトニング治療同意書（以下「本同意書」といいます。）は、患者（以下「甲」といいます。）が、歯科医院（以下「乙」といいます。）に対し、ホワイトニング治療を受けるにあたり、その内容・効果・リスク等について十分な説明を受け、理解したうえで同意することを目的と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9g7p01bosr1" w:id="1"/>
      <w:bookmarkEnd w:id="1"/>
      <w:r w:rsidDel="00000000" w:rsidR="00000000" w:rsidRPr="00000000">
        <w:rPr>
          <w:rFonts w:ascii="Arial Unicode MS" w:cs="Arial Unicode MS" w:eastAsia="Arial Unicode MS" w:hAnsi="Arial Unicode MS"/>
          <w:b w:val="1"/>
          <w:bCs w:val="1"/>
          <w:rtl w:val="0"/>
        </w:rPr>
        <w:t xml:space="preserve">第1条（治療内容）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乙は甲に対し、以下のホワイトニング治療を実施します。</w:t>
      </w:r>
    </w:p>
    <w:p w:rsidR="00000000" w:rsidDel="00000000" w:rsidP="00000000" w:rsidRDefault="00000000" w:rsidRPr="00000000" w14:paraId="0000000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オフィスホワイトニング</w:t>
      </w:r>
    </w:p>
    <w:p w:rsidR="00000000" w:rsidDel="00000000" w:rsidP="00000000" w:rsidRDefault="00000000" w:rsidRPr="00000000" w14:paraId="0000000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ホームホワイトニング</w:t>
      </w:r>
    </w:p>
    <w:p w:rsidR="00000000" w:rsidDel="00000000" w:rsidP="00000000" w:rsidRDefault="00000000" w:rsidRPr="00000000" w14:paraId="0000000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デュアルホワイトニング</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その他乙が必要と判断する関連施術</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具体的な施術内容、使用薬剤、施術回数等は、甲乙協議のうえ決定するものとします。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9qao33p6ybfi" w:id="2"/>
      <w:bookmarkEnd w:id="2"/>
      <w:r w:rsidDel="00000000" w:rsidR="00000000" w:rsidRPr="00000000">
        <w:rPr>
          <w:rFonts w:ascii="Arial Unicode MS" w:cs="Arial Unicode MS" w:eastAsia="Arial Unicode MS" w:hAnsi="Arial Unicode MS"/>
          <w:b w:val="1"/>
          <w:bCs w:val="1"/>
          <w:rtl w:val="0"/>
        </w:rPr>
        <w:t xml:space="preserve">第2条（治療効果について）</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1．ホワイトニングは歯牙の着色改善を目的とする審美治療であり、永久的な白さを保証するものではありません。</w:t>
        <w:br w:type="textWrapping"/>
        <w:t xml:space="preserve">2．治療効果には個人差があり、歯質、生活習慣、加齢、既存修復物等により期待した効果が得られない場合があります。</w:t>
        <w:br w:type="textWrapping"/>
        <w:t xml:space="preserve">3．被せ物、差し歯、詰め物、神経治療済み歯等は白くならない場合があります。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9e8jpo4t9n9i" w:id="3"/>
      <w:bookmarkEnd w:id="3"/>
      <w:r w:rsidDel="00000000" w:rsidR="00000000" w:rsidRPr="00000000">
        <w:rPr>
          <w:rFonts w:ascii="Arial Unicode MS" w:cs="Arial Unicode MS" w:eastAsia="Arial Unicode MS" w:hAnsi="Arial Unicode MS"/>
          <w:b w:val="1"/>
          <w:bCs w:val="1"/>
          <w:rtl w:val="0"/>
        </w:rPr>
        <w:t xml:space="preserve">第3条（リスク及び副作用）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甲は、以下のリスク及び副作用について説明を受け、理解したうえで同意します。</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一時的な知覚過敏</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歯肉、口唇、粘膜等への刺激</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治療中又は治療後の疼痛</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色むら又は希望色との差異</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後戻りによる再着色</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既存修復物との色調差</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薬剤によるアレルギー反応</w:t>
      </w:r>
    </w:p>
    <w:p w:rsidR="00000000" w:rsidDel="00000000" w:rsidP="00000000" w:rsidRDefault="00000000" w:rsidRPr="00000000" w14:paraId="00000019">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その他予測困難な症状</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cvdfcha0sneh" w:id="4"/>
      <w:bookmarkEnd w:id="4"/>
      <w:r w:rsidDel="00000000" w:rsidR="00000000" w:rsidRPr="00000000">
        <w:rPr>
          <w:rFonts w:ascii="Arial Unicode MS" w:cs="Arial Unicode MS" w:eastAsia="Arial Unicode MS" w:hAnsi="Arial Unicode MS"/>
          <w:b w:val="1"/>
          <w:bCs w:val="1"/>
          <w:rtl w:val="0"/>
        </w:rPr>
        <w:t xml:space="preserve">第4条（治療前の確認事項）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1．甲は、自身の健康状態、既往歴、妊娠の有無、服薬状況等について、乙へ正確に申告するものとします。</w:t>
        <w:br w:type="textWrapping"/>
        <w:t xml:space="preserve">2．以下に該当する場合、乙は施術を中止又は延期できるものとします。</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重度の虫歯又は歯周病がある場合</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妊娠中又は授乳中である場合</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無カタラーゼ症等の疾患がある場合</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強い知覚過敏がある場合</w:t>
      </w:r>
    </w:p>
    <w:p w:rsidR="00000000" w:rsidDel="00000000" w:rsidP="00000000" w:rsidRDefault="00000000" w:rsidRPr="00000000" w14:paraId="00000021">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その他乙が不適当と判断した場合</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eyn05jeqc3e5" w:id="5"/>
      <w:bookmarkEnd w:id="5"/>
      <w:r w:rsidDel="00000000" w:rsidR="00000000" w:rsidRPr="00000000">
        <w:rPr>
          <w:rFonts w:ascii="Arial Unicode MS" w:cs="Arial Unicode MS" w:eastAsia="Arial Unicode MS" w:hAnsi="Arial Unicode MS"/>
          <w:b w:val="1"/>
          <w:bCs w:val="1"/>
          <w:rtl w:val="0"/>
        </w:rPr>
        <w:t xml:space="preserve">第5条（施術後の注意事項）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甲は、施術後一定期間、乙の指示に従い以下事項に留意するものとします。</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着色性飲食物の摂取制限</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喫煙制限</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適切な口腔ケアの実施</w:t>
      </w:r>
    </w:p>
    <w:p w:rsidR="00000000" w:rsidDel="00000000" w:rsidP="00000000" w:rsidRDefault="00000000" w:rsidRPr="00000000" w14:paraId="0000002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指示された来院及び経過観察</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av8jdi7mpras" w:id="6"/>
      <w:bookmarkEnd w:id="6"/>
      <w:r w:rsidDel="00000000" w:rsidR="00000000" w:rsidRPr="00000000">
        <w:rPr>
          <w:rFonts w:ascii="Arial Unicode MS" w:cs="Arial Unicode MS" w:eastAsia="Arial Unicode MS" w:hAnsi="Arial Unicode MS"/>
          <w:b w:val="1"/>
          <w:bCs w:val="1"/>
          <w:rtl w:val="0"/>
        </w:rPr>
        <w:t xml:space="preserve">第6条（保証について）</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1．乙は、ホワイトニング効果の持続期間及び最終的な白さについて保証するものではありません。</w:t>
        <w:br w:type="textWrapping"/>
        <w:t xml:space="preserve">2．甲の体質、生活習慣、指示不遵守等に起因する結果について、乙は責任を負いません。</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vdcllrz2qx0" w:id="7"/>
      <w:bookmarkEnd w:id="7"/>
      <w:r w:rsidDel="00000000" w:rsidR="00000000" w:rsidRPr="00000000">
        <w:rPr>
          <w:rFonts w:ascii="Arial Unicode MS" w:cs="Arial Unicode MS" w:eastAsia="Arial Unicode MS" w:hAnsi="Arial Unicode MS"/>
          <w:b w:val="1"/>
          <w:bCs w:val="1"/>
          <w:rtl w:val="0"/>
        </w:rPr>
        <w:t xml:space="preserve">第7条（費用）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1．本治療に関する費用は自由診療であり、公的医療保険の適用対象外です。</w:t>
        <w:br w:type="textWrapping"/>
        <w:t xml:space="preserve">2．甲は、乙が別途提示する料金表に従い、治療費を支払うものとします。</w:t>
        <w:br w:type="textWrapping"/>
        <w:t xml:space="preserve">3．一度支払われた費用は、施術開始後は原則返金されません。ただし、乙に重大な過失がある場合を除きます。</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mu5sxw4hzuk"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乙は、甲の個人情報を以下の目的で利用します。</w:t>
      </w:r>
    </w:p>
    <w:p w:rsidR="00000000" w:rsidDel="00000000" w:rsidP="00000000" w:rsidRDefault="00000000" w:rsidRPr="00000000" w14:paraId="0000003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診療及び施術管理</w:t>
      </w:r>
    </w:p>
    <w:p w:rsidR="00000000" w:rsidDel="00000000" w:rsidP="00000000" w:rsidRDefault="00000000" w:rsidRPr="00000000" w14:paraId="0000003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治療説明及び連絡対応</w:t>
      </w:r>
    </w:p>
    <w:p w:rsidR="00000000" w:rsidDel="00000000" w:rsidP="00000000" w:rsidRDefault="00000000" w:rsidRPr="00000000" w14:paraId="0000003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会計処理</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医療法その他法令対応</w:t>
      </w:r>
    </w:p>
    <w:p w:rsidR="00000000" w:rsidDel="00000000" w:rsidP="00000000" w:rsidRDefault="00000000" w:rsidRPr="00000000" w14:paraId="0000003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医療サービス品質向上</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乙は法令に基づく場合を除き、甲の同意なく第三者へ個人情報を提供しません。</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5u67iq8jjjiy"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乙は、以下に起因する損害について責任を負いません。</w:t>
      </w:r>
    </w:p>
    <w:p w:rsidR="00000000" w:rsidDel="00000000" w:rsidP="00000000" w:rsidRDefault="00000000" w:rsidRPr="00000000" w14:paraId="0000003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甲による事実の不申告又は虚偽申告</w:t>
      </w:r>
    </w:p>
    <w:p w:rsidR="00000000" w:rsidDel="00000000" w:rsidP="00000000" w:rsidRDefault="00000000" w:rsidRPr="00000000" w14:paraId="0000003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施術後の注意事項違反</w:t>
      </w:r>
    </w:p>
    <w:p w:rsidR="00000000" w:rsidDel="00000000" w:rsidP="00000000" w:rsidRDefault="00000000" w:rsidRPr="00000000" w14:paraId="0000003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自己判断による施術中断</w:t>
      </w:r>
    </w:p>
    <w:p w:rsidR="00000000" w:rsidDel="00000000" w:rsidP="00000000" w:rsidRDefault="00000000" w:rsidRPr="00000000" w14:paraId="0000003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他院施術との併用による影響</w:t>
      </w:r>
    </w:p>
    <w:p w:rsidR="00000000" w:rsidDel="00000000" w:rsidP="00000000" w:rsidRDefault="00000000" w:rsidRPr="00000000" w14:paraId="0000003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不可抗力による損害</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qt3ftwh1r0d9"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本同意書に定めのない事項又は疑義が生じた場合は、甲乙誠意をもって協議のうえ解決するものとします。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24"/>
          <w:szCs w:val="24"/>
        </w:rPr>
      </w:pPr>
      <w:bookmarkStart w:colFirst="0" w:colLast="0" w:name="_4psvh6e3wvm" w:id="11"/>
      <w:bookmarkEnd w:id="11"/>
      <w:r w:rsidDel="00000000" w:rsidR="00000000" w:rsidRPr="00000000">
        <w:rPr>
          <w:rFonts w:ascii="Arial Unicode MS" w:cs="Arial Unicode MS" w:eastAsia="Arial Unicode MS" w:hAnsi="Arial Unicode MS"/>
          <w:b w:val="1"/>
          <w:bCs w:val="1"/>
          <w:sz w:val="24"/>
          <w:szCs w:val="24"/>
          <w:rtl w:val="0"/>
        </w:rPr>
        <w:t xml:space="preserve">同意欄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私は、ホワイトニング治療の内容、効果、限界、リスク及び費用等について十分な説明を受け、理解したうえで、自らの意思により本治療を受けることに同意します。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甲（患者）</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乙（歯科医院）</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医院名：</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説明担当者名：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6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