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zgir17fsgk0" w:id="0"/>
      <w:bookmarkEnd w:id="0"/>
      <w:r w:rsidDel="00000000" w:rsidR="00000000" w:rsidRPr="00000000">
        <w:rPr>
          <w:rFonts w:ascii="Arial Unicode MS" w:cs="Arial Unicode MS" w:eastAsia="Arial Unicode MS" w:hAnsi="Arial Unicode MS"/>
          <w:b w:val="1"/>
          <w:bCs w:val="1"/>
          <w:sz w:val="44"/>
          <w:szCs w:val="44"/>
          <w:rtl w:val="0"/>
        </w:rPr>
        <w:t xml:space="preserve">労使協定書（同一労働同一賃金対応）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労使協定書（以下「本協定」という。）は、●●株式会社（以下「会社」という。）と、会社に雇用される労働者の過半数を代表する者（以下「労働者代表」という。）との間で、短時間労働者、有期雇用労働者その他の非正規雇用労働者に対する不合理な待遇差の解消及び適正な処遇確保を目的として、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fklmkfoh1k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協定は、短時間・有期雇用労働法その他関係法令に基づき、通常の労働者と短時間労働者、有期雇用労働者等との間における不合理な待遇差を解消し、同一労働同一賃金の考え方に沿った適正な処遇を実現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e1d1o4qu5nk" w:id="2"/>
      <w:bookmarkEnd w:id="2"/>
      <w:r w:rsidDel="00000000" w:rsidR="00000000" w:rsidRPr="00000000">
        <w:rPr>
          <w:rFonts w:ascii="Arial Unicode MS" w:cs="Arial Unicode MS" w:eastAsia="Arial Unicode MS" w:hAnsi="Arial Unicode MS"/>
          <w:b w:val="1"/>
          <w:bCs w:val="1"/>
          <w:rtl w:val="0"/>
        </w:rPr>
        <w:t xml:space="preserve">第2条（適用対象者）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本協定は、会社に雇用される次の労働者に適用する。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1．短時間労働者</w:t>
        <w:br w:type="textWrapping"/>
        <w:t xml:space="preserve">2．有期雇用労働者</w:t>
        <w:br w:type="textWrapping"/>
        <w:t xml:space="preserve">3．契約社員、嘱託社員、パートタイマーその他名称を問わず前各号に類する労働者</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hh3nux7olsuh" w:id="3"/>
      <w:bookmarkEnd w:id="3"/>
      <w:r w:rsidDel="00000000" w:rsidR="00000000" w:rsidRPr="00000000">
        <w:rPr>
          <w:rFonts w:ascii="Arial Unicode MS" w:cs="Arial Unicode MS" w:eastAsia="Arial Unicode MS" w:hAnsi="Arial Unicode MS"/>
          <w:b w:val="1"/>
          <w:bCs w:val="1"/>
          <w:rtl w:val="0"/>
        </w:rPr>
        <w:t xml:space="preserve">第3条（待遇決定の基本原則）</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賃金、賞与、各種手当、福利厚生、教育訓練その他の待遇について、職務内容、職務内容及び配置変更の範囲、責任の程度、成果、能力、経験その他合理的事情を総合的に勘案して決定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o5h7hbhw04xu" w:id="4"/>
      <w:bookmarkEnd w:id="4"/>
      <w:r w:rsidDel="00000000" w:rsidR="00000000" w:rsidRPr="00000000">
        <w:rPr>
          <w:rFonts w:ascii="Arial Unicode MS" w:cs="Arial Unicode MS" w:eastAsia="Arial Unicode MS" w:hAnsi="Arial Unicode MS"/>
          <w:b w:val="1"/>
          <w:bCs w:val="1"/>
          <w:rtl w:val="0"/>
        </w:rPr>
        <w:t xml:space="preserve">第4条（不合理な待遇差の禁止）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会社は、通常の労働者と短時間労働者又は有期雇用労働者との間において、職務内容、責任の程度及び配置変更の範囲が同一であるにもかかわらず、不合理と認められる待遇差を設けないものとする。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vr2cf6utoobw" w:id="5"/>
      <w:bookmarkEnd w:id="5"/>
      <w:r w:rsidDel="00000000" w:rsidR="00000000" w:rsidRPr="00000000">
        <w:rPr>
          <w:rFonts w:ascii="Arial Unicode MS" w:cs="Arial Unicode MS" w:eastAsia="Arial Unicode MS" w:hAnsi="Arial Unicode MS"/>
          <w:b w:val="1"/>
          <w:bCs w:val="1"/>
          <w:rtl w:val="0"/>
        </w:rPr>
        <w:t xml:space="preserve">第5条（賃金）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1．基本給は、職務内容、能力、成果、経験及び勤続年数等を総合的に勘案して決定する。</w:t>
        <w:br w:type="textWrapping"/>
        <w:t xml:space="preserve">2．昇給の有無及び基準については、勤務成績、能力及び会社業績等を踏まえて判断する。</w:t>
        <w:br w:type="textWrapping"/>
        <w:t xml:space="preserve">3．賞与を支給する場合は、業務内容、成果、貢献度等を考慮し合理的な基準に基づき決定する。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i8mud2h5af66" w:id="6"/>
      <w:bookmarkEnd w:id="6"/>
      <w:r w:rsidDel="00000000" w:rsidR="00000000" w:rsidRPr="00000000">
        <w:rPr>
          <w:rFonts w:ascii="Arial Unicode MS" w:cs="Arial Unicode MS" w:eastAsia="Arial Unicode MS" w:hAnsi="Arial Unicode MS"/>
          <w:b w:val="1"/>
          <w:bCs w:val="1"/>
          <w:rtl w:val="0"/>
        </w:rPr>
        <w:t xml:space="preserve">第6条（各種手当）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会社は、通勤手当、役職手当、資格手当、皆勤手当その他各種手当について、その趣旨及び目的に照らし、合理的な基準に基づき支給するものとする。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7k0i1agnsoy2" w:id="7"/>
      <w:bookmarkEnd w:id="7"/>
      <w:r w:rsidDel="00000000" w:rsidR="00000000" w:rsidRPr="00000000">
        <w:rPr>
          <w:rFonts w:ascii="Arial Unicode MS" w:cs="Arial Unicode MS" w:eastAsia="Arial Unicode MS" w:hAnsi="Arial Unicode MS"/>
          <w:b w:val="1"/>
          <w:bCs w:val="1"/>
          <w:rtl w:val="0"/>
        </w:rPr>
        <w:t xml:space="preserve">第7条（福利厚生）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会社は、食堂、休憩室、更衣室その他福利厚生施設について、合理的な理由なく利用機会に差異を設けないものとする。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72yqhvxjwkhy" w:id="8"/>
      <w:bookmarkEnd w:id="8"/>
      <w:r w:rsidDel="00000000" w:rsidR="00000000" w:rsidRPr="00000000">
        <w:rPr>
          <w:rFonts w:ascii="Arial Unicode MS" w:cs="Arial Unicode MS" w:eastAsia="Arial Unicode MS" w:hAnsi="Arial Unicode MS"/>
          <w:b w:val="1"/>
          <w:bCs w:val="1"/>
          <w:rtl w:val="0"/>
        </w:rPr>
        <w:t xml:space="preserve">第8条（教育訓練）</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会社は、業務遂行に必要な教育訓練について、通常の労働者と短時間労働者又は有期雇用労働者との間で不合理な差異を設けないものとする。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dbyhvb16hiio" w:id="9"/>
      <w:bookmarkEnd w:id="9"/>
      <w:r w:rsidDel="00000000" w:rsidR="00000000" w:rsidRPr="00000000">
        <w:rPr>
          <w:rFonts w:ascii="Arial Unicode MS" w:cs="Arial Unicode MS" w:eastAsia="Arial Unicode MS" w:hAnsi="Arial Unicode MS"/>
          <w:b w:val="1"/>
          <w:bCs w:val="1"/>
          <w:rtl w:val="0"/>
        </w:rPr>
        <w:t xml:space="preserve">第9条（安全衛生）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会社は、すべての労働者に対し、安全衛生に関する教育、健康診断その他必要な措置を適切に実施するものとする。</w:t>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5pffmrcps5ww" w:id="10"/>
      <w:bookmarkEnd w:id="10"/>
      <w:r w:rsidDel="00000000" w:rsidR="00000000" w:rsidRPr="00000000">
        <w:rPr>
          <w:rFonts w:ascii="Arial Unicode MS" w:cs="Arial Unicode MS" w:eastAsia="Arial Unicode MS" w:hAnsi="Arial Unicode MS"/>
          <w:b w:val="1"/>
          <w:bCs w:val="1"/>
          <w:rtl w:val="0"/>
        </w:rPr>
        <w:t xml:space="preserve">第10条（説明義務）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会社は、短時間労働者又は有期雇用労働者から待遇内容又は待遇差の理由について説明を求められた場合、関係法令に基づき適切に説明するものとする。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stl4luycdsgx" w:id="11"/>
      <w:bookmarkEnd w:id="11"/>
      <w:r w:rsidDel="00000000" w:rsidR="00000000" w:rsidRPr="00000000">
        <w:rPr>
          <w:rFonts w:ascii="Arial Unicode MS" w:cs="Arial Unicode MS" w:eastAsia="Arial Unicode MS" w:hAnsi="Arial Unicode MS"/>
          <w:b w:val="1"/>
          <w:bCs w:val="1"/>
          <w:rtl w:val="0"/>
        </w:rPr>
        <w:t xml:space="preserve">第11条（相談窓口）</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1．会社は、本協定に関する相談窓口を設置する。</w:t>
        <w:br w:type="textWrapping"/>
        <w:t xml:space="preserve">2．労働者は、待遇差その他本協定に関する事項について相談することができる。</w:t>
        <w:br w:type="textWrapping"/>
        <w:t xml:space="preserve">3．会社は、相談を行ったことを理由として不利益な取扱いを行わない。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gr5vlu6d86q4" w:id="12"/>
      <w:bookmarkEnd w:id="12"/>
      <w:r w:rsidDel="00000000" w:rsidR="00000000" w:rsidRPr="00000000">
        <w:rPr>
          <w:rFonts w:ascii="Arial Unicode MS" w:cs="Arial Unicode MS" w:eastAsia="Arial Unicode MS" w:hAnsi="Arial Unicode MS"/>
          <w:b w:val="1"/>
          <w:bCs w:val="1"/>
          <w:rtl w:val="0"/>
        </w:rPr>
        <w:t xml:space="preserve">第12条（法令遵守）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会社及び労働者代表は、短時間・有期雇用労働法、労働基準法その他関係法令を遵守するものとする。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zge4h5nbqk55"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本協定に定めのない事項又は本協定の解釈について疑義が生じた場合は、会社及び労働者代表が誠実に協議のうえ解決するものとする。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frvyqkxbiwr3" w:id="14"/>
      <w:bookmarkEnd w:id="14"/>
      <w:r w:rsidDel="00000000" w:rsidR="00000000" w:rsidRPr="00000000">
        <w:rPr>
          <w:rFonts w:ascii="Arial Unicode MS" w:cs="Arial Unicode MS" w:eastAsia="Arial Unicode MS" w:hAnsi="Arial Unicode MS"/>
          <w:b w:val="1"/>
          <w:bCs w:val="1"/>
          <w:rtl w:val="0"/>
        </w:rPr>
        <w:t xml:space="preserve">第14条（有効期間）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協定の有効期間は、●●年●●月●●日から●●年●●月●●日までとする。ただし、期間満了の1か月前までに会社又は労働者代表から書面による異議申出がない場合は、さらに1年間更新するものとし、以後も同様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本協定締結の証として、本書2通を作成し、会社及び労働者代表が署名又は記名押印のうえ、各1通を保有する。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会社名：●●株式会社</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【労働者代表】</w:t>
        <w:br w:type="textWrapping"/>
        <w:t xml:space="preserve">氏名：●●</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