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jno6yhxi53u" w:id="0"/>
      <w:bookmarkEnd w:id="0"/>
      <w:r w:rsidDel="00000000" w:rsidR="00000000" w:rsidRPr="00000000">
        <w:rPr>
          <w:rFonts w:ascii="Arial Unicode MS" w:cs="Arial Unicode MS" w:eastAsia="Arial Unicode MS" w:hAnsi="Arial Unicode MS"/>
          <w:b w:val="1"/>
          <w:bCs w:val="1"/>
          <w:sz w:val="44"/>
          <w:szCs w:val="44"/>
          <w:rtl w:val="0"/>
        </w:rPr>
        <w:t xml:space="preserve">マージン率公開規程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社」という。）は、労働者派遣法その他関係法令に基づき、当社のマージン率等の情報公開に関する取扱いについて、以下のとおりマージン率公開規程（以下「本規程」という。）を定め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kt4x0xjthuj"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本規程は、労働者派遣法第23条第5項その他関係法令に基づき、当社が行う労働者派遣事業に関するマージン率等の情報公開について必要な事項を定め、情報開示の適正化及び透明性の確保を目的とする。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zc3f5lvhnmj1" w:id="2"/>
      <w:bookmarkEnd w:id="2"/>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本規程は、当社が実施するすべての労働者派遣事業に適用する。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a06lnc3y78oc" w:id="3"/>
      <w:bookmarkEnd w:id="3"/>
      <w:r w:rsidDel="00000000" w:rsidR="00000000" w:rsidRPr="00000000">
        <w:rPr>
          <w:rFonts w:ascii="Arial Unicode MS" w:cs="Arial Unicode MS" w:eastAsia="Arial Unicode MS" w:hAnsi="Arial Unicode MS"/>
          <w:b w:val="1"/>
          <w:bCs w:val="1"/>
          <w:rtl w:val="0"/>
        </w:rPr>
        <w:t xml:space="preserve">第3条（公開対象情報）</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当社は、法令に基づき、以下の情報を公開するものとする。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1．派遣労働者数</w:t>
        <w:br w:type="textWrapping"/>
        <w:t xml:space="preserve">2．派遣先事業所数</w:t>
        <w:br w:type="textWrapping"/>
        <w:t xml:space="preserve">3．労働者派遣に関する料金の平均額</w:t>
        <w:br w:type="textWrapping"/>
        <w:t xml:space="preserve">4．派遣労働者の賃金の平均額</w:t>
        <w:br w:type="textWrapping"/>
        <w:t xml:space="preserve">5．マージン率</w:t>
        <w:br w:type="textWrapping"/>
        <w:t xml:space="preserve">6．教育訓練に関する事項</w:t>
        <w:br w:type="textWrapping"/>
        <w:t xml:space="preserve">7．福利厚生に関する事項</w:t>
        <w:br w:type="textWrapping"/>
        <w:t xml:space="preserve">8．労使協定締結の有無及び対象範囲</w:t>
        <w:br w:type="textWrapping"/>
        <w:t xml:space="preserve">9．その他法令上公開が必要とされる事項</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ov3e5ifrny73" w:id="4"/>
      <w:bookmarkEnd w:id="4"/>
      <w:r w:rsidDel="00000000" w:rsidR="00000000" w:rsidRPr="00000000">
        <w:rPr>
          <w:rFonts w:ascii="Arial Unicode MS" w:cs="Arial Unicode MS" w:eastAsia="Arial Unicode MS" w:hAnsi="Arial Unicode MS"/>
          <w:b w:val="1"/>
          <w:bCs w:val="1"/>
          <w:rtl w:val="0"/>
        </w:rPr>
        <w:t xml:space="preserve">第4条（マージン率の定義）</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本規程におけるマージン率とは、以下の計算式により算出される割合をいう。</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マージン率 ＝ （派遣料金平均額 − 派遣労働者賃金平均額） ÷ 派遣料金平均額 × 100</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なお、マージンには、以下の費用等が含まれる。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・社会保険料</w:t>
        <w:br w:type="textWrapping"/>
        <w:t xml:space="preserve">・有給休暇費用</w:t>
        <w:br w:type="textWrapping"/>
        <w:t xml:space="preserve">・教育訓練費</w:t>
        <w:br w:type="textWrapping"/>
        <w:t xml:space="preserve">・福利厚生費</w:t>
        <w:br w:type="textWrapping"/>
        <w:t xml:space="preserve">・募集採用費</w:t>
        <w:br w:type="textWrapping"/>
        <w:t xml:space="preserve">・事業運営費</w:t>
        <w:br w:type="textWrapping"/>
        <w:t xml:space="preserve">・営業活動費</w:t>
        <w:br w:type="textWrapping"/>
        <w:t xml:space="preserve">・適正利益</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g6dhpooxj1de" w:id="5"/>
      <w:bookmarkEnd w:id="5"/>
      <w:r w:rsidDel="00000000" w:rsidR="00000000" w:rsidRPr="00000000">
        <w:rPr>
          <w:rFonts w:ascii="Arial Unicode MS" w:cs="Arial Unicode MS" w:eastAsia="Arial Unicode MS" w:hAnsi="Arial Unicode MS"/>
          <w:b w:val="1"/>
          <w:bCs w:val="1"/>
          <w:rtl w:val="0"/>
        </w:rPr>
        <w:t xml:space="preserve">第5条（公開方法）</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当社は、前条に定める情報を、以下の方法により公開する。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1．当社ウェブサイトへの掲載</w:t>
        <w:br w:type="textWrapping"/>
        <w:t xml:space="preserve">2．事業所内への備付け又は掲示</w:t>
        <w:br w:type="textWrapping"/>
        <w:t xml:space="preserve">3．派遣労働者又は取引先からの請求に応じた書面交付</w:t>
        <w:br w:type="textWrapping"/>
        <w:t xml:space="preserve">4．その他当社が適切と判断する方法</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6zq4pv9yb587" w:id="6"/>
      <w:bookmarkEnd w:id="6"/>
      <w:r w:rsidDel="00000000" w:rsidR="00000000" w:rsidRPr="00000000">
        <w:rPr>
          <w:rFonts w:ascii="Arial Unicode MS" w:cs="Arial Unicode MS" w:eastAsia="Arial Unicode MS" w:hAnsi="Arial Unicode MS"/>
          <w:b w:val="1"/>
          <w:bCs w:val="1"/>
          <w:rtl w:val="0"/>
        </w:rPr>
        <w:t xml:space="preserve">第6条（公開時期）</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当社は、毎事業年度終了後、速やかにマージン率等の情報を更新し公開するものとする。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z2i9kz7mktvy" w:id="7"/>
      <w:bookmarkEnd w:id="7"/>
      <w:r w:rsidDel="00000000" w:rsidR="00000000" w:rsidRPr="00000000">
        <w:rPr>
          <w:rFonts w:ascii="Arial Unicode MS" w:cs="Arial Unicode MS" w:eastAsia="Arial Unicode MS" w:hAnsi="Arial Unicode MS"/>
          <w:b w:val="1"/>
          <w:bCs w:val="1"/>
          <w:rtl w:val="0"/>
        </w:rPr>
        <w:t xml:space="preserve">第7条（情報管理）</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当社は、公開情報の正確性及び最新性を維持するため、必要な情報管理体制を整備する。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2．公開情報に誤記又は不備が判明した場合には、速やかに修正を行うものとする。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uzlqq7oc8uk0" w:id="8"/>
      <w:bookmarkEnd w:id="8"/>
      <w:r w:rsidDel="00000000" w:rsidR="00000000" w:rsidRPr="00000000">
        <w:rPr>
          <w:rFonts w:ascii="Arial Unicode MS" w:cs="Arial Unicode MS" w:eastAsia="Arial Unicode MS" w:hAnsi="Arial Unicode MS"/>
          <w:b w:val="1"/>
          <w:bCs w:val="1"/>
          <w:rtl w:val="0"/>
        </w:rPr>
        <w:t xml:space="preserve">第8条（個人情報保護）</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当社は、情報公開にあたり、派遣労働者その他関係者の個人情報が識別されないよう適切に管理するものとする。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crqalph7whk2" w:id="9"/>
      <w:bookmarkEnd w:id="9"/>
      <w:r w:rsidDel="00000000" w:rsidR="00000000" w:rsidRPr="00000000">
        <w:rPr>
          <w:rFonts w:ascii="Arial Unicode MS" w:cs="Arial Unicode MS" w:eastAsia="Arial Unicode MS" w:hAnsi="Arial Unicode MS"/>
          <w:b w:val="1"/>
          <w:bCs w:val="1"/>
          <w:rtl w:val="0"/>
        </w:rPr>
        <w:t xml:space="preserve">第9条（法令遵守）</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当社は、労働者派遣法、個人情報保護法その他関係法令を遵守し、本規程を運用するものとする。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i0jrc4r2hxib" w:id="10"/>
      <w:bookmarkEnd w:id="10"/>
      <w:r w:rsidDel="00000000" w:rsidR="00000000" w:rsidRPr="00000000">
        <w:rPr>
          <w:rFonts w:ascii="Arial Unicode MS" w:cs="Arial Unicode MS" w:eastAsia="Arial Unicode MS" w:hAnsi="Arial Unicode MS"/>
          <w:b w:val="1"/>
          <w:bCs w:val="1"/>
          <w:rtl w:val="0"/>
        </w:rPr>
        <w:t xml:space="preserve">第10条（規程の改定）</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当社は、法令改正、行政指導又は事業運営上の必要に応じ、本規程を改定することができる。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wqwxn3nccjgx"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本規程に定めのない事項又は解釈上の疑義が生じた場合には、関係法令に従い、誠意をもって協議の上解決するものとする。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本規程は、●●年●●月●●日より施行する。</w:t>
      </w:r>
    </w:p>
    <w:p w:rsidR="00000000" w:rsidDel="00000000" w:rsidP="00000000" w:rsidRDefault="00000000" w:rsidRPr="00000000" w14:paraId="0000002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