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古物売買契約書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●●（以下「甲」という。）と●●（以下「乙」という。）は、古物の売買に関し、以下のとおり古物売買契約（以下「本契約」という。）を締結する。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本契約は、甲が所有する古物を乙が買い受けるにあたり、その売買条件、引渡し方法、代金支払方法その他必要事項を定め、取引の安全かつ円滑な実施を図ることを目的とする。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第2条（売買対象物）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甲は、乙に対し、以下の古物（以下「本件古物」という。）を売却し、乙はこれを買い受ける。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・商品名：</w:t>
        <w:br w:type="textWrapping"/>
        <w:t xml:space="preserve">・メーカー名：</w:t>
        <w:br w:type="textWrapping"/>
        <w:t xml:space="preserve">・型番：</w:t>
        <w:br w:type="textWrapping"/>
        <w:t xml:space="preserve">・数量：</w:t>
        <w:br w:type="textWrapping"/>
        <w:t xml:space="preserve">・シリアル番号：</w:t>
        <w:br w:type="textWrapping"/>
        <w:t xml:space="preserve">・付属品：</w:t>
        <w:br w:type="textWrapping"/>
        <w:t xml:space="preserve">・状態：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本件古物に関する詳細情報、写真、査定内容その他個別条件については、別紙、査定票、商品説明書又は電子データ等により特定することができる。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甲は、本件古物について正当な所有権又は処分権限を有していることを保証する。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第3条（売買代金）</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本件古物の売買代金は、金●●円（税込）とする。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乙は、甲に対し、以下の方法により売買代金を支払う。</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・現金払い</w:t>
        <w:br w:type="textWrapping"/>
        <w:t xml:space="preserve">・銀行振込</w:t>
        <w:br w:type="textWrapping"/>
        <w:t xml:space="preserve">・電子決済</w:t>
        <w:br w:type="textWrapping"/>
        <w:t xml:space="preserve">・その他双方協議による方法</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銀行振込手数料は、別段の定めがない限り乙の負担とする。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第4条（引渡し）</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甲は、乙に対し、以下の方法により本件古物を引き渡す。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・店頭引渡し</w:t>
        <w:br w:type="textWrapping"/>
        <w:t xml:space="preserve">・配送</w:t>
        <w:br w:type="textWrapping"/>
        <w:t xml:space="preserve">・出張買取時の現地引渡し</w:t>
        <w:br w:type="textWrapping"/>
        <w:t xml:space="preserve">・その他双方合意による方法</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本件古物の所有権は、乙が売買代金全額の支払いを完了し、かつ本件古物の引渡しが完了した時点で乙に移転する。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本件古物の引渡し後に生じた滅失、毀損その他の危険は、乙の負担とする。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第5条（本人確認）</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甲は、乙に対し、古物営業法その他関連法令に基づき必要となる本人確認書類を提示するものとする。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乙は、法令上必要な範囲において、甲の氏名、住所、生年月日、職業その他必要情報を記録・保存することができる。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甲は、本人確認情報に虚偽がないことを保証する。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第6条（盗品等の排除）</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甲は、本件古物が盗品、遺失物、不正取得物その他第三者の権利を侵害する物品でないことを保証する。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本件古物について第三者から権利主張、返還請求、差押えその他の紛争が生じた場合、甲は自己の責任と費用においてこれを解決する。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前項の場合において乙に損害が生じたときは、甲はその損害を賠償しなければならない。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第7条（商品の状態）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本件古物は中古品であり、経年劣化、使用感、傷、汚れ、欠品その他新品とは異なる状態を含むことを、甲乙双方確認する。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乙は、本件古物の状態を確認のうえ買い受けるものとし、甲は乙に対して本件古物の通常使用に支障のない範囲を超える重大な瑕疵を故意に秘匿してはならない。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乙は、引渡し後の通常使用による劣化、消耗、性能低下等について、甲に対し責任を追及しない。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第8条（返品・契約解除）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乙は、以下の場合を除き、本件古物引渡し後の返品、交換又は返金を請求できない。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・甲による重大な虚偽説明があった場合</w:t>
        <w:br w:type="textWrapping"/>
        <w:t xml:space="preserve">・本件古物が盗品等であった場合</w:t>
        <w:br w:type="textWrapping"/>
        <w:t xml:space="preserve">・契約内容と著しく異なる商品であった場合</w:t>
        <w:br w:type="textWrapping"/>
        <w:t xml:space="preserve">・法令上返品が認められる場合</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甲又は乙が本契約に違反し、相当期間を定めて催告したにもかかわらず是正されない場合、相手方は本契約を解除することができる。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解除によって相手方に損害が生じた場合、解除した側は損害賠償を請求することができる。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第9条（反社会的勢力の排除）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甲及び乙は、自ら又は関係者が反社会的勢力に該当しないことを表明し、保証する。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甲又は乙が反社会的勢力と関係を有していることが判明した場合、相手方は何らの催告なく本契約を解除できる。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前項による解除により損害が発生しても、解除した側は一切責任を負わない。</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第10条（秘密保持）</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甲及び乙は、本契約に関連して知り得た相手方の個人情報、営業情報その他秘密情報を、法令上必要な場合を除き、第三者へ開示又は漏えいしてはならない。</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第11条（損害賠償）</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甲又は乙が本契約に違反し、相手方に損害を与えた場合、違反当事者は、相手方に生じた通常かつ直接の損害を賠償するものとする。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第12条（不可抗力）</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天災地変、火災、停電、輸送障害、法令改正、行政指導その他当事者の合理的支配を超える事由により本契約の履行が困難となった場合、当事者はその責任を負わない。</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第13条（協議事項）</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本契約に定めのない事項又は本契約の解釈について疑義が生じた場合、甲乙は誠実に協議し解決するものとする。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第14条（合意管轄）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本契約に関して紛争が生じた場合、甲の所在地を管轄する地方裁判所又は簡易裁判所を第一審の専属的合意管轄裁判所とする。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本契約締結の証として、本書2通を作成し、甲乙各自署名又は記名押印のうえ、各1通を保有する。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w:t>
        <w:br w:type="textWrapping"/>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br w:type="textWrapping"/>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乙</w:t>
        <w:br w:type="textWrapping"/>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br w:type="textWrapping"/>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