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ラベル・表示内容確認書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が販売又は提供を予定する商品に使用されるラベル、パッケージ、商品表示、広告表示その他これらに付随する表示内容について、次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本確認書は、甲が販売又は提供する商品に関し、乙が作成、確認、監修、印刷、貼付又は納品に関与するラベル、表示内容及び関連資料について、その内容確認及び責任範囲を明確にすることを目的とする。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第2条（対象表示）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本確認書において対象となる表示物には、次の各号を含むものとする。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商品ラベル</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パッケージ表示</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成分表示</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原材料表示</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使用方法表示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注意事項表示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⑦ 広告表示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⑧ ECサイト掲載情報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⑨ 販促物及び説明資料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⑩ その他商品に関連する表示全般</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第3条（表示内容の確認）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甲は、乙から提出された表示内容、デザイン、記載事項その他関連資料について、自らの責任において内容確認を行うものとする。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甲は、薬機法、景品表示法、食品表示法、不当表示規制その他関連法令への適合性を確認したうえで承認を行うものとする。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乙は、甲による最終承認前に表示内容を確定又は使用してはならない。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第4条（責任範囲）</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甲は、最終承認後の表示内容について一切の責任を負うものとする。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乙は、甲の承認内容に従い表示物を作成、印刷又は納品した場合、甲の指示内容に起因する法令違反、誤表示、クレームその他損害について責任を負わないものとする。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乙が独自判断により表示内容を変更した場合、当該変更部分について乙が責任を負うものとする。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第5条（表示修正）</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甲は、表示内容に誤記、誤表示、不適切表示又は法令上の問題を発見した場合、速やかに乙へ通知するものとする。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乙は、甲から修正依頼を受けた場合、合理的な範囲で速やかに修正対応を行うものとする。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修正に伴い追加費用が発生する場合、その負担については甲乙協議のうえ決定する。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第6条（法令遵守）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甲及び乙は、対象表示に関して適用される法令、ガイドライン、行政通知及び業界基準を遵守するものとする。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第7条（第三者からの指摘等）</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表示内容について行政機関、消費者、取引先その他第三者から指摘、苦情、調査又は是正要請があった場合、甲乙は速やかに情報共有を行うものとする。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甲乙は、問題解決に向け誠実に協議し、必要な対応を行うものとする。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甲及び乙は、本確認書に関連して知り得た相手方の技術上、営業上その他一切の秘密情報を第三者へ漏えいしてはならない。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甲又は乙が本確認書に違反し、相手方に損害を与えた場合、違反当事者はその損害を賠償するものとする。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第10条（有効期間）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本確認書締結日から１年間とする。ただし、期間満了の１か月前までに甲乙いずれからも書面による終了通知がない場合、同一条件にてさらに１年間更新されるものとし、以後も同様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本確認書に定めのない事項又は解釈に疑義が生じた場合、甲乙は誠実に協議のうえ解決するものとする。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第12条（合意管轄）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本確認書に関して紛争が生じた場合、甲の本店所在地を管轄する地方裁判所を第一審の専属的合意管轄裁判所とする。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本確認書締結の証として、本書２通を作成し、甲乙記名押印のうえ、各自１通を保有する。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E">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