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ラベル・表示内容確認書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販売又は提供を予定する商品に使用されるラベル、パッケージ、商品表示、広告表示その他これらに付随する表示内容について、次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本確認書は、甲が販売又は提供する商品に関し、乙が作成、確認、監修、印刷、貼付又は納品に関与するラベル、表示内容及び関連資料について、その内容確認及び責任範囲を明確にすることを目的とする。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第2条（対象表示）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本確認書において対象となる表示物には、次の各号を含むものとする。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商品ラベル</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パッケージ表示</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成分表示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原材料表示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使用方法表示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注意事項表示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⑦ 広告表示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⑧ ECサイト掲載情報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⑨ 販促物及び説明資料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⑩ その他商品に関連する表示全般</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第3条（表示内容の確認）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甲は、乙から提出された表示内容、デザイン、記載事項その他関連資料について、自らの責任において内容確認を行うものとする。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甲は、薬機法、景品表示法、食品表示法、不当表示規制その他関連法令への適合性を確認したうえで承認を行うものとする。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乙は、甲による最終承認前に表示内容を確定又は使用してはならない。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第4条（責任範囲）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甲は、最終承認後の表示内容について一切の責任を負うものとする。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乙は、甲の承認内容に従い表示物を作成、印刷又は納品した場合、甲の指示内容に起因する法令違反、誤表示、クレームその他損害について責任を負わないものとする。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乙が独自判断により表示内容を変更した場合、当該変更部分について乙が責任を負うものとする。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第5条（表示修正）</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甲は、表示内容に誤記、誤表示、不適切表示又は法令上の問題を発見した場合、速やかに乙へ通知するものとする。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乙は、甲から修正依頼を受けた場合、合理的な範囲で速やかに修正対応を行うものとする。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修正に伴い追加費用が発生する場合、その負担については甲乙協議のうえ決定する。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第6条（法令遵守）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甲及び乙は、対象表示に関して適用される法令、ガイドライン、行政通知及び業界基準を遵守するものとする。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第7条（第三者からの指摘等）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表示内容について行政機関、消費者、取引先その他第三者から指摘、苦情、調査又は是正要請があった場合、甲乙は速やかに情報共有を行うものとする。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甲乙は、問題解決に向け誠実に協議し、必要な対応を行うものとする。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甲及び乙は、本確認書に関連して知り得た相手方の技術上、営業上その他一切の秘密情報を第三者へ漏えいしてはならない。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甲又は乙が本確認書に違反し、相手方に損害を与えた場合、違反当事者はその損害を賠償するものとする。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第10条（有効期間）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本確認書締結日から１年間とする。ただし、期間満了の１か月前までに甲乙いずれからも書面による終了通知がない場合、同一条件にてさらに１年間更新されるものとし、以後も同様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本確認書に定めのない事項又は解釈に疑義が生じた場合、甲乙は誠実に協議のうえ解決するものとする。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第12条（合意管轄）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本確認書締結の証として、本書２通を作成し、甲乙記名押印のうえ、各自１通を保有する。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E">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