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xi4faqwax5t" w:id="0"/>
      <w:bookmarkEnd w:id="0"/>
      <w:r w:rsidDel="00000000" w:rsidR="00000000" w:rsidRPr="00000000">
        <w:rPr>
          <w:rFonts w:ascii="Arial Unicode MS" w:cs="Arial Unicode MS" w:eastAsia="Arial Unicode MS" w:hAnsi="Arial Unicode MS"/>
          <w:b w:val="1"/>
          <w:bCs w:val="1"/>
          <w:sz w:val="44"/>
          <w:szCs w:val="44"/>
          <w:rtl w:val="0"/>
        </w:rPr>
        <w:t xml:space="preserve">デザインサブスク利用規約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月額制デザイン制作サービス（以下「本サービス」という。）の利用条件を定めるものであり、本サービスを利用する者（以下「利用者」という。）と当社との間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1．本サービスは、利用者からの依頼に基づき、当社が継続的にデザイン制作業務を提供するサービスです。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2．本サービスの対象には、バナー、SNS投稿画像、チラシ、パンフレット、営業資料、広告クリエイティブ、名刺、Webデザインその他当社が指定する制作物を含みます。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3．具体的な制作範囲、納品形式、納期及び料金プランは、当社が別途定める内容によるものとします。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1．利用者が本規約に同意のうえ申込みを行い、当社が承諾した時点で利用契約が成立します。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2．当社は、次の各号に該当する場合、申込みを承諾しないことがあります。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（1）申込内容に虚偽がある場合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（2）過去に本規約違反がある場合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（3）反社会的勢力との関係が認められる場合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（4）その他当社が不適当と判断した場合</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第4条（利用料金及び支払方法）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1．利用者は、契約プランに応じた月額利用料金を支払うものとします。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2．利用料金の支払日は当社が別途定めるものとします。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3．支払手数料は利用者の負担とします。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4．利用者都合による途中解約の場合であっても、既に支払われた料金は返金しません。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第5条（制作依頼）</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1．利用者は、当社指定の方法により制作依頼を行うものとします。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2．利用者は、制作に必要な原稿、画像、ロゴ、写真その他の資料を自己の責任で提供するものとします。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3．当社は、必要資料の不足その他合理的な理由がある場合、制作開始を保留できるものとします。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第6条（修正対応）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1．当社は契約プランの範囲内で成果物の修正対応を行います。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2．次の各号に該当する場合、当社は追加料金を請求できるものとします。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（1）当初依頼内容を大幅に変更する場合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（2）デザイン方針を全面的に変更する場合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（3）契約プランで定める修正回数を超える場合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（4）実質的に新規制作と認められる変更を行う場合</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第7条（納品及び検収）</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1．当社は、完成した成果物を電子データにより納品します。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2．利用者は成果物受領後速やかに内容を確認するものとします。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3．納品後7日以内に異議又は修正依頼がない場合、成果物は検収完了したものとみなします。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第8条（著作権及び知的財産権）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1．成果物に関する著作権その他知的財産権は、別途定めがない限り当社に帰属します。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2．当社が著作権譲渡プラン又は別途契約により著作権譲渡を行う場合は、その契約内容に従うものとします。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3．利用者は、契約の目的の範囲内で成果物を利用できるものとします。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4．当社の制作ノウハウ、テンプレート、デザインシステム及び制作工程に関する権利は利用者に移転しません。</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第9条（利用者提供素材）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1．利用者が提供する素材に関する権利は利用者又は正当な権利者に帰属します。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2．利用者は当社に対し、本サービス提供のために必要な範囲で当該素材を利用する権限を付与するものとします。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3．利用者提供素材に起因して第三者との紛争が発生した場合、利用者の責任と費用により解決するものとします。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第10条（制作実績の公開）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1．当社は、成果物を制作実績として自社サイト、SNS、営業資料等に掲載できるものとします。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2．利用者が公開を希望しない場合は、契約時又は制作開始前までにその旨を申し出るものとします。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第11条（秘密保持）</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1．当社及び利用者は、本サービスを通じて知り得た相手方の営業上、技術上その他一切の非公開情報を第三者に漏えいしてはなりません。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2．法令又は公的機関の命令に基づく場合はこの限りではありません。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3．本条の義務は契約終了後も3年間継続するものとします。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第12条（禁止事項）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（2）第三者の権利を侵害する行為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（3）虚偽情報の提供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（4）当社の業務を妨害する行為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（5）反社会的勢力に関する行為</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（6）その他当社が不適切と判断する行為</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第13条（サービスの停止又は中断）</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当社は、次の各号に該当する場合、事前通知なく本サービスの全部又は一部を停止又は中断できるものとします。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（1）システム保守又は障害対応を行う場合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（2）天災地変その他不可抗力が発生した場合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（3）その他サービス運営上必要と判断した場合</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第14条（契約解除）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1．利用者又は当社は、相手方が本規約に違反し、相当期間を定めて催告したにもかかわらず是正しない場合、契約を解除することができます。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2．利用者が利用料金の支払を怠った場合、当社は催告なく契約を解除することができます。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3．契約解除によって相手方に損害が生じても、法令上認められる範囲で責任を負わないものとします。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第15条（損害賠償）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当社又は利用者が本規約に違反し、相手方に損害を与えた場合、その直接かつ通常の損害を賠償するものとします。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第16条（免責事項）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1．当社は、成果物が利用者の期待する効果、売上向上又は成果達成を保証するものではありません。</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2．当社は、利用者提供素材の内容について確認義務を負うものではありません。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3．当社の責任が認められる場合であっても、その賠償額は直近1か月分の利用料金を上限とします。ただし、故意又は重過失による場合を除きます。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当社及び利用者は、自己又は関係者が反社会的勢力に該当しないことを表明し保証するものとします。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第18条（規約の変更）</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当社は、法令改正又はサービス内容変更等に応じて本規約を変更できるものとします。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本規約に定めのない事項又は疑義が生じた場合は、当社及び利用者が誠意をもって協議し解決するものとします。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第20条（準拠法及び管轄裁判所）</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2．本規約に関して紛争が生じた場合、当社本店所在地を管轄する地方裁判所を第一審の専属的合意管轄裁判所とします。</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