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4"/>
          <w:szCs w:val="34"/>
        </w:rPr>
      </w:pPr>
      <w:bookmarkStart w:colFirst="0" w:colLast="0" w:name="_6o95ujosqnuc" w:id="0"/>
      <w:bookmarkEnd w:id="0"/>
      <w:r w:rsidDel="00000000" w:rsidR="00000000" w:rsidRPr="00000000">
        <w:rPr>
          <w:rFonts w:ascii="Arial Unicode MS" w:cs="Arial Unicode MS" w:eastAsia="Arial Unicode MS" w:hAnsi="Arial Unicode MS"/>
          <w:b w:val="1"/>
          <w:bCs w:val="1"/>
          <w:sz w:val="46"/>
          <w:szCs w:val="46"/>
          <w:rtl w:val="0"/>
        </w:rPr>
        <w:t xml:space="preserve">TUE申請同意書</w:t>
      </w:r>
      <w:r w:rsidDel="00000000" w:rsidR="00000000" w:rsidRPr="00000000">
        <w:rPr>
          <w:rFonts w:ascii="Arial Unicode MS" w:cs="Arial Unicode MS" w:eastAsia="Arial Unicode MS" w:hAnsi="Arial Unicode MS"/>
          <w:b w:val="1"/>
          <w:bCs w:val="1"/>
          <w:sz w:val="34"/>
          <w:szCs w:val="34"/>
          <w:rtl w:val="0"/>
        </w:rPr>
        <w:t xml:space="preserve">（治療使用特例申請に関する同意書）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アスリート（以下「申請者」という。）が、禁止物質又は禁止方法を治療目的で使用するため、関係団体に対してTUE（治療使用特例）の申請を行うに際し、当該申請及び審査に必要な情報の取扱い、申請者の義務、並びに競技団体等の権限について定める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boqspd4wrgay"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申請者がTUE申請を適切に行うために必要な事項を定め、申請者が治療目的による禁止物質等の使用につき、競技団体・アンチドーピング機関（以下総称して「機関」という。）による審査・情報取扱い・管理に同意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5cnot2qewv94"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本同意書における用語の定義は、世界アンチドーピング機構（WADA）が定める世界アンチドーピング規程（WADC）および医療目的使用に関する国際基準（ISTUE）によるものとする。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i2z6sdo43cpq" w:id="3"/>
      <w:bookmarkEnd w:id="3"/>
      <w:r w:rsidDel="00000000" w:rsidR="00000000" w:rsidRPr="00000000">
        <w:rPr>
          <w:rFonts w:ascii="Arial Unicode MS" w:cs="Arial Unicode MS" w:eastAsia="Arial Unicode MS" w:hAnsi="Arial Unicode MS"/>
          <w:b w:val="1"/>
          <w:bCs w:val="1"/>
          <w:sz w:val="34"/>
          <w:szCs w:val="34"/>
          <w:rtl w:val="0"/>
        </w:rPr>
        <w:t xml:space="preserve">第3条（申請者の同意事項）</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申請者は、TUE申請にあたり、以下の事項に同意する。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申請者が提出する医療情報、診療記録、検査データその他TUE審査に必要な資料について、機関がTUE審査及びその管理等の目的で利用すること。</w:t>
        <w:br w:type="textWrapping"/>
        <w:t xml:space="preserve">2　申請者のTUE申請内容・審査結果等について、WADAまたは必要と認められる国際競技連盟等に共有される場合があること。</w:t>
        <w:br w:type="textWrapping"/>
        <w:t xml:space="preserve">3　申請者が提出する情報が虚偽、不正確、不完全であった場合、TUEが却下または無効とされ得ること。</w:t>
        <w:br w:type="textWrapping"/>
        <w:t xml:space="preserve">4　本申請に必要な情報が提出されない場合、審査が行われないこと。</w:t>
        <w:br w:type="textWrapping"/>
        <w:t xml:space="preserve">5　TUE取得後に治療内容が変更された場合、速やかに機関に報告する義務を負うこと。</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3rvhv7da546b" w:id="4"/>
      <w:bookmarkEnd w:id="4"/>
      <w:r w:rsidDel="00000000" w:rsidR="00000000" w:rsidRPr="00000000">
        <w:rPr>
          <w:rFonts w:ascii="Arial Unicode MS" w:cs="Arial Unicode MS" w:eastAsia="Arial Unicode MS" w:hAnsi="Arial Unicode MS"/>
          <w:b w:val="1"/>
          <w:bCs w:val="1"/>
          <w:sz w:val="34"/>
          <w:szCs w:val="34"/>
          <w:rtl w:val="0"/>
        </w:rPr>
        <w:t xml:space="preserve">第4条（医療情報の提供及び開示）</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申請者は、主治医その他の医療機関に対し、TUE申請に必要な診療情報を機関に提供することを許可する。</w:t>
        <w:br w:type="textWrapping"/>
        <w:t xml:space="preserve">2　申請者は、本同意書に基づき提供された医療情報が、TUE審査委員、WADA、国際競技連盟等に必要に応じて開示される場合があることを承認する。</w:t>
        <w:br w:type="textWrapping"/>
        <w:t xml:space="preserve">3　機関は、提供された医療情報をTUE審査の目的に限定して使用し、不要になった情報については適切な方法により保管または処理を行う。</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tlmb2u8czfi6" w:id="5"/>
      <w:bookmarkEnd w:id="5"/>
      <w:r w:rsidDel="00000000" w:rsidR="00000000" w:rsidRPr="00000000">
        <w:rPr>
          <w:rFonts w:ascii="Arial Unicode MS" w:cs="Arial Unicode MS" w:eastAsia="Arial Unicode MS" w:hAnsi="Arial Unicode MS"/>
          <w:b w:val="1"/>
          <w:bCs w:val="1"/>
          <w:sz w:val="34"/>
          <w:szCs w:val="34"/>
          <w:rtl w:val="0"/>
        </w:rPr>
        <w:t xml:space="preserve">第5条（申請者の義務）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申請者は、以下の義務を負う。</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医師の診断書、検査記録、症状の説明等、TUE審査に必要な資料を正確かつ完全に提出すること。</w:t>
        <w:br w:type="textWrapping"/>
        <w:t xml:space="preserve">2　治療内容に変更が生じた場合、直ちに機関に届け出ること。</w:t>
        <w:br w:type="textWrapping"/>
        <w:t xml:space="preserve">3　TUE認可期間満了前に、必要に応じて更新申請を行うこと。</w:t>
        <w:br w:type="textWrapping"/>
        <w:t xml:space="preserve">4　TUE認可に基づく医薬品等の使用が、定められた範囲を逸脱しないよう管理すること。</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dpuyz034kwck" w:id="6"/>
      <w:bookmarkEnd w:id="6"/>
      <w:r w:rsidDel="00000000" w:rsidR="00000000" w:rsidRPr="00000000">
        <w:rPr>
          <w:rFonts w:ascii="Arial Unicode MS" w:cs="Arial Unicode MS" w:eastAsia="Arial Unicode MS" w:hAnsi="Arial Unicode MS"/>
          <w:b w:val="1"/>
          <w:bCs w:val="1"/>
          <w:sz w:val="34"/>
          <w:szCs w:val="34"/>
          <w:rtl w:val="0"/>
        </w:rPr>
        <w:t xml:space="preserve">第6条（TUE審査及び決定）</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機関は、提出された資料に基づきISTUEに従って審査を行い、TUEの可否を決定する。</w:t>
        <w:br w:type="textWrapping"/>
        <w:t xml:space="preserve">2　審査過程・基準・判断方法等について、申請者は機関に対し異議を述べることができるが、最終判断は機関に委ねられるものとする。</w:t>
        <w:br w:type="textWrapping"/>
        <w:t xml:space="preserve">3　機関は、申請者に対し書面または電磁的方法にて審査結果を通知する。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t8c2ht3ggriw" w:id="7"/>
      <w:bookmarkEnd w:id="7"/>
      <w:r w:rsidDel="00000000" w:rsidR="00000000" w:rsidRPr="00000000">
        <w:rPr>
          <w:rFonts w:ascii="Arial Unicode MS" w:cs="Arial Unicode MS" w:eastAsia="Arial Unicode MS" w:hAnsi="Arial Unicode MS"/>
          <w:b w:val="1"/>
          <w:bCs w:val="1"/>
          <w:sz w:val="34"/>
          <w:szCs w:val="34"/>
          <w:rtl w:val="0"/>
        </w:rPr>
        <w:t xml:space="preserve">第7条（TUEの有効期間及び失効）</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TUEの有効期間は、審査結果通知で定める期間とする。</w:t>
        <w:br w:type="textWrapping"/>
        <w:t xml:space="preserve">2　次のいずれかに該当する場合、TUEは失効する。</w:t>
      </w:r>
    </w:p>
    <w:p w:rsidR="00000000" w:rsidDel="00000000" w:rsidP="00000000" w:rsidRDefault="00000000" w:rsidRPr="00000000" w14:paraId="0000001B">
      <w:pPr>
        <w:rPr>
          <w:sz w:val="20"/>
          <w:szCs w:val="20"/>
        </w:rPr>
      </w:pPr>
      <w:r w:rsidDel="00000000" w:rsidR="00000000" w:rsidRPr="00000000">
        <w:rPr>
          <w:rFonts w:ascii="Arial Unicode MS" w:cs="Arial Unicode MS" w:eastAsia="Arial Unicode MS" w:hAnsi="Arial Unicode MS"/>
          <w:sz w:val="20"/>
          <w:szCs w:val="20"/>
          <w:rtl w:val="0"/>
        </w:rPr>
        <w:t xml:space="preserve">・有効期間が満了したとき</w:t>
      </w:r>
    </w:p>
    <w:p w:rsidR="00000000" w:rsidDel="00000000" w:rsidP="00000000" w:rsidRDefault="00000000" w:rsidRPr="00000000" w14:paraId="0000001C">
      <w:pPr>
        <w:rPr>
          <w:sz w:val="20"/>
          <w:szCs w:val="20"/>
        </w:rPr>
      </w:pPr>
      <w:r w:rsidDel="00000000" w:rsidR="00000000" w:rsidRPr="00000000">
        <w:rPr>
          <w:rFonts w:ascii="Arial Unicode MS" w:cs="Arial Unicode MS" w:eastAsia="Arial Unicode MS" w:hAnsi="Arial Unicode MS"/>
          <w:sz w:val="20"/>
          <w:szCs w:val="20"/>
          <w:rtl w:val="0"/>
        </w:rPr>
        <w:t xml:space="preserve">・治療内容が変更されたにもかかわらず申請者が届け出なかったとき</w:t>
      </w:r>
    </w:p>
    <w:p w:rsidR="00000000" w:rsidDel="00000000" w:rsidP="00000000" w:rsidRDefault="00000000" w:rsidRPr="00000000" w14:paraId="0000001D">
      <w:pPr>
        <w:rPr>
          <w:sz w:val="20"/>
          <w:szCs w:val="20"/>
        </w:rPr>
      </w:pPr>
      <w:r w:rsidDel="00000000" w:rsidR="00000000" w:rsidRPr="00000000">
        <w:rPr>
          <w:rFonts w:ascii="Arial Unicode MS" w:cs="Arial Unicode MS" w:eastAsia="Arial Unicode MS" w:hAnsi="Arial Unicode MS"/>
          <w:sz w:val="20"/>
          <w:szCs w:val="20"/>
          <w:rtl w:val="0"/>
        </w:rPr>
        <w:t xml:space="preserve">・申請者が虚偽の申請または資料提出を行ったことが判明したとき</w:t>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8s7qpe27bu03"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機関は、申請者の個人情報をTUE審査、記録管理、国際基準に基づく報告義務の履行のために利用する。</w:t>
        <w:br w:type="textWrapping"/>
        <w:t xml:space="preserve">2　機関は、法令・国際基準に基づき必要な場合を除き、申請者の同意なく第三者に個人情報を提供しない。</w:t>
        <w:br w:type="textWrapping"/>
        <w:t xml:space="preserve">3　申請者は、個人情報の開示・訂正・利用停止等の請求を行うことができる。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ug7dv02l5kct" w:id="9"/>
      <w:bookmarkEnd w:id="9"/>
      <w:r w:rsidDel="00000000" w:rsidR="00000000" w:rsidRPr="00000000">
        <w:rPr>
          <w:rFonts w:ascii="Arial Unicode MS" w:cs="Arial Unicode MS" w:eastAsia="Arial Unicode MS" w:hAnsi="Arial Unicode MS"/>
          <w:b w:val="1"/>
          <w:bCs w:val="1"/>
          <w:sz w:val="34"/>
          <w:szCs w:val="34"/>
          <w:rtl w:val="0"/>
        </w:rPr>
        <w:t xml:space="preserve">第9条（免責）</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機関は、TUE申請の却下または失効等により申請者に生じた不利益について、一切の責任を負わない。</w:t>
        <w:br w:type="textWrapping"/>
        <w:t xml:space="preserve">2　機関は、申請者がTUE認可に基づく医薬品等の使用を行うことにより生じる健康上の影響等について責任を負わない。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3h3847r2bm0z"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申請者が本同意書に違反し機関に損害を与えた場合、申請者は、その損害（調査費用・弁護士費用を含む。）を賠償しなければならない。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u94gzri2hdea" w:id="11"/>
      <w:bookmarkEnd w:id="11"/>
      <w:r w:rsidDel="00000000" w:rsidR="00000000" w:rsidRPr="00000000">
        <w:rPr>
          <w:rFonts w:ascii="Arial Unicode MS" w:cs="Arial Unicode MS" w:eastAsia="Arial Unicode MS" w:hAnsi="Arial Unicode MS"/>
          <w:b w:val="1"/>
          <w:bCs w:val="1"/>
          <w:sz w:val="34"/>
          <w:szCs w:val="34"/>
          <w:rtl w:val="0"/>
        </w:rPr>
        <w:t xml:space="preserve">第11条（準拠法・紛争解決）</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本同意書の成立、効力、履行、解釈については、日本法を準拠法とする。</w:t>
        <w:br w:type="textWrapping"/>
        <w:t xml:space="preserve">2　本同意書に関して紛争が生じた場合、申請者及び機関は誠意をもって協議し、解決を図るものとする。</w:t>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uxct4x2mw9i" w:id="12"/>
      <w:bookmarkEnd w:id="12"/>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本同意書の内容を十分に理解し、同意の上で署名する。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（申請者）</w:t>
        <w:br w:type="textWrapping"/>
        <w:t xml:space="preserve">氏名：　　　　　　　　　　　　　　　　</w:t>
        <w:br w:type="textWrapping"/>
        <w:t xml:space="preserve">住所：　　　　　　　　　　　　　　　　</w:t>
        <w:br w:type="textWrapping"/>
        <w:t xml:space="preserve">生年月日：　　　　　　　　　　　　　　</w:t>
        <w:br w:type="textWrapping"/>
        <w:t xml:space="preserve">署名：　　　　　　　　　　　　　　　　</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（作成日）</w:t>
        <w:br w:type="textWrapping"/>
        <w:t xml:space="preserve">令和　年　月　日</w:t>
      </w:r>
    </w:p>
    <w:p w:rsidR="00000000" w:rsidDel="00000000" w:rsidP="00000000" w:rsidRDefault="00000000" w:rsidRPr="00000000" w14:paraId="0000002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