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サイトマップ承認書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イトマップ承認書（以下「本承認書」という。）は、発注者（以下「甲」という。）が、受注者（以下「乙」という。）より提示されたWebサイトのサイトマップについて内容を確認し、承認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本承認書は、乙が制作又は構築を行うWebサイトに関し、サイト構成、ページ階層及び主要コンテンツの配置について甲が確認し、承認した事実を記録することを目的とする。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第2条（サイトマップの内容）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甲は、乙から提示された別紙サイトマップを確認し、以下の内容を承認する。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（1）ページ構成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（2）ページ階層</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（3）ナビゲーション構造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（4）カテゴリ構成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（5）主要コンテンツの配置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（6）その他サイト設計に関する事項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第3条（承認の効果）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1．甲による承認後、乙は承認済みサイトマップに基づきデザイン制作、システム開発、コンテンツ制作その他関連業務を進めることができる。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2．甲は、承認後にサイト構成の変更を希望する場合、乙に対し書面又は電子的方法により通知するものとする。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3．前項の変更により追加作業、工数増加又は納期変更が生じる場合、甲乙は別途協議の上、費用及びスケジュールを定めるものとする。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第4条（変更依頼）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1．甲は、承認後にサイトマップの変更を希望する場合、その内容を具体的に乙へ通知する。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2．乙は変更内容を確認し、追加費用、納期変更その他必要事項を甲へ提示する。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3．甲が変更内容及び条件を承認した場合に限り、乙は変更作業を実施する。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第5条（記載内容の確認責任）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1．甲は、サイトマップに記載されたページ名、構成、階層及び導線設計について十分に確認したうえで承認するものとする。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2．承認後に判明した記載漏れ、誤認又は追加要望については、乙の責めに帰すべき事由がある場合を除き、変更対応として取り扱う。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第6条（成果保証の否定）</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本承認書による承認は、検索順位、アクセス数、問い合わせ件数、売上その他事業成果を保証するものではない。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甲及び乙は、本承認書に関連して知り得た相手方の技術上、営業上その他一切の非公開情報について、法令に基づく場合を除き、第三者へ開示又は漏えいしてはならない。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本承認書に定めのない事項又は解釈上の疑義が生じた場合は、甲乙誠意をもって協議し解決するものとする。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本承認書に関して紛争が生じた場合は、甲乙協議の上定める裁判所を第一審の専属的合意管轄裁判所とする。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承認日</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【発注者（甲）】</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