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ストーリーズ掲載同意書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トーリーズ掲載同意書（以下「本同意書」という。）は、掲載対象者（以下「甲」という。）が、掲載事業者または掲載者（以下「乙」という。）によるSNSストーリーズへの写真、動画、氏名その他情報の掲載について同意するために締結するものとする。なお、甲および乙は以下の条件に従う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運営または管理するSNSアカウントにおいて、甲に関する写真、動画、音声、氏名、ニックネーム、コメントその他の情報（以下「掲載素材」という。）をストーリーズ機能に掲載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第2条（掲載内容）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1．乙は、以下の掲載素材をストーリーズに掲載することができる。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（1）甲の肖像が含まれる写真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（2）甲が出演する動画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（3）甲の氏名またはニックネーム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（4）甲のコメント、感想またはレビュー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（5）その他甲が提供または承諾した情報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2．乙は、掲載目的の達成に必要な範囲で、掲載素材の編集、トリミング、文字挿入、レイアウト変更その他軽微な加工を行うことができる。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乙は、掲載素材を以下の目的で利用する。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（1）商品またはサービスの紹介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（2）イベント、キャンペーンまたは企画の告知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（3）企業、店舗またはブランドの広報活動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（4）SNSアカウントの運営および情報発信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（5）前各号に付随する目的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第4条（掲載媒体）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1．乙は、以下の媒体において掲載素材を利用することができる。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（1）Instagramストーリーズ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（2）Facebookストーリーズ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（3）TikTokストーリーズまたは類似機能</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（4）その他SNS事業者が提供するストーリーズ機能</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2．乙は、ストーリーズ掲載後にハイライト機能その他アーカイブ機能を利用して継続的に公開する場合、別途甲の承諾を得るものとする。ただし、本同意書において承諾済みの場合はこの限りでない。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第5条（掲載期間）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掲載期間は、乙がストーリーズを公開した日から当該ストーリーズの公開終了日までとする。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第6条（権利関係）</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1．掲載素材に関する著作権その他の知的財産権は、法令または別途契約により定める権利者に帰属する。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2．甲は、本同意書に基づく利用目的の範囲内で乙が掲載素材を利用することを許諾する。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3．本同意書は、掲載素材の著作権その他の権利を乙へ譲渡するものではない。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乙は、掲載素材について以下の行為を行わない。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（2）甲の名誉または信用を不当に害する利用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（3）掲載目的を著しく逸脱した利用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（4）第三者の権利を侵害する利用</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第8条（掲載停止）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1．甲は、合理的な理由がある場合、乙に対し掲載停止または削除を求めることができる。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2．乙は、前項の請求を受けた場合、協議のうえ合理的な範囲で対応するものとする。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乙は、掲載素材に含まれる個人情報を関係法令および乙の個人情報保護方針に従って適切に管理するものとする。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甲または乙が本同意書に違反し、相手方に損害を与えた場合には、その損害を賠償する責任を負うものとする。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本同意書に定めのない事項または本同意書の解釈について疑義が生じた場合には、甲乙誠意をもって協議し解決するものとする。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第12条（合意管轄）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本同意書に関して紛争が生じた場合には、乙の本店所在地を管轄する地方裁判所または簡易裁判所を第一審の専属的合意管轄裁判所とする。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本同意書の内容を確認のうえ、甲乙は署名または記名押印を行う。</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【甲（掲載対象者）】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【乙（掲載事業者）】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