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ldp2acfc2em" w:id="0"/>
      <w:bookmarkEnd w:id="0"/>
      <w:r w:rsidDel="00000000" w:rsidR="00000000" w:rsidRPr="00000000">
        <w:rPr>
          <w:rFonts w:ascii="Arial Unicode MS" w:cs="Arial Unicode MS" w:eastAsia="Arial Unicode MS" w:hAnsi="Arial Unicode MS"/>
          <w:b w:val="1"/>
          <w:bCs w:val="1"/>
          <w:sz w:val="44"/>
          <w:szCs w:val="44"/>
          <w:rtl w:val="0"/>
        </w:rPr>
        <w:t xml:space="preserve">CI・VI制作契約書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株式会社●●（以下「甲」という。）と、●●（以下「乙」という。）は、甲のブランド戦略に基づくCI（Corporate Identity）及びVI（Visual Identity）の企画・制作業務について、以下のとおり契約（以下「本契約」という。）を締結する。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gebwijs7q7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本契約は、乙が甲から委託を受けてCI・VIの企画、設計及び制作業務を行い、その成果物の納品及び利用条件等について定めることを目的とする。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q5ppphj68hb"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（1）ブランドコンセプトの整理及び提案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（2）ブランドネーミング案の提案（必要な場合）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（3）ロゴデザインの制作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（4）ブランドカラー及び指定色の設計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（5）ブランドフォントの選定及び提案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（6）VIデザインシステムの構築</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（7）ブランドガイドラインの作成</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（8）名刺、封筒、会社案内等の基本展開デザインの制作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（9）その他甲乙が別途合意した業務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31j8ki8rpob0" w:id="3"/>
      <w:bookmarkEnd w:id="3"/>
      <w:r w:rsidDel="00000000" w:rsidR="00000000" w:rsidRPr="00000000">
        <w:rPr>
          <w:rFonts w:ascii="Arial Unicode MS" w:cs="Arial Unicode MS" w:eastAsia="Arial Unicode MS" w:hAnsi="Arial Unicode MS"/>
          <w:b w:val="1"/>
          <w:bCs w:val="1"/>
          <w:rtl w:val="0"/>
        </w:rPr>
        <w:t xml:space="preserve">第3条（成果物）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本契約における成果物とは、次の各号に定めるものをいう。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（1）ロゴデータ</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（2）CIマニュアル</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（3）VIガイドライン</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（4）デザインデータ</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（5）提案資料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（6）その他本業務に関連して作成された資料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cttcjggqvcy"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2．甲は、乙による業務遂行に必要な情報、資料及び素材を提供する。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3．甲が必要資料の提供を遅延した場合、乙は納期を合理的な範囲で延長できる。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vvqc4zjteqha"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1．甲は乙に対し、本業務の報酬として金●●円（消費税別）を支払う。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2．支払期限は納品月の翌月末日までとする。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nc5idyhvl2b" w:id="6"/>
      <w:bookmarkEnd w:id="6"/>
      <w:r w:rsidDel="00000000" w:rsidR="00000000" w:rsidRPr="00000000">
        <w:rPr>
          <w:rFonts w:ascii="Arial Unicode MS" w:cs="Arial Unicode MS" w:eastAsia="Arial Unicode MS" w:hAnsi="Arial Unicode MS"/>
          <w:b w:val="1"/>
          <w:bCs w:val="1"/>
          <w:rtl w:val="0"/>
        </w:rPr>
        <w:t xml:space="preserve">第6条（追加業務）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1．次の各号に該当する場合は追加業務とする。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（1）当初合意した制作範囲を超える作業</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（2）追加提案の依頼</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（3）追加媒体への展開デザイン</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（4）ブランド再設計に相当する修正</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（5）その他乙が合理的に追加業務と判断する作業</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2．追加業務の費用は甲乙協議の上決定する。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pjmbpokm3q9r"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1．成果物の修正回数は●回までとする。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2．甲は修正内容をまとめて通知するものとする。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3．次の各号に該当する場合は追加費用が発生する。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（1）修正回数超過</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（2）方向性変更</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（3）承認後の再修正</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（4）新規案の追加制作</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pPr>
      <w:bookmarkStart w:colFirst="0" w:colLast="0" w:name="_spcwt21om7qr" w:id="8"/>
      <w:bookmarkEnd w:id="8"/>
      <w:r w:rsidDel="00000000" w:rsidR="00000000" w:rsidRPr="00000000">
        <w:rPr>
          <w:rFonts w:ascii="Arial Unicode MS" w:cs="Arial Unicode MS" w:eastAsia="Arial Unicode MS" w:hAnsi="Arial Unicode MS"/>
          <w:b w:val="1"/>
          <w:bCs w:val="1"/>
          <w:rtl w:val="0"/>
        </w:rPr>
        <w:t xml:space="preserve">第8条（検収）</w:t>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1．甲は成果物受領後10日以内に検収を行う。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2．甲が期間内に異議を述べない場合、成果物は検収完了とみなす。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3．軽微な不具合は乙が修正対応を行う。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p0gckk4v4yji"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1．成果物に関する著作権は、乙に帰属する。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2．甲が成果物に関する著作権譲渡の対価を支払った場合は、検収完了及び報酬完済を条件として、成果物の著作権（著作権法第27条及び第28条の権利を含む）を甲へ譲渡する。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3．第三者素材、フォント、写真、イラスト等については当該権利者の権利に従う。</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4．乙は著作者人格権を行使しないものとする。ただし法令上放棄できない権利を除く。</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7qfi7gu33pkd" w:id="10"/>
      <w:bookmarkEnd w:id="10"/>
      <w:r w:rsidDel="00000000" w:rsidR="00000000" w:rsidRPr="00000000">
        <w:rPr>
          <w:rFonts w:ascii="Arial Unicode MS" w:cs="Arial Unicode MS" w:eastAsia="Arial Unicode MS" w:hAnsi="Arial Unicode MS"/>
          <w:b w:val="1"/>
          <w:bCs w:val="1"/>
          <w:rtl w:val="0"/>
        </w:rPr>
        <w:t xml:space="preserve">第10条（商標等の権利確認）</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1．甲は、成果物を商標登録する場合、自らの責任と費用で商標調査及び出願を行うものとする。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2．乙は商標登録の可否を保証しない。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3．甲の指示に基づく名称又はデザインに関して第三者との紛争が生じた場合、甲の責任において解決するものとする。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9kj8n31oahts" w:id="11"/>
      <w:bookmarkEnd w:id="11"/>
      <w:r w:rsidDel="00000000" w:rsidR="00000000" w:rsidRPr="00000000">
        <w:rPr>
          <w:rFonts w:ascii="Arial Unicode MS" w:cs="Arial Unicode MS" w:eastAsia="Arial Unicode MS" w:hAnsi="Arial Unicode MS"/>
          <w:b w:val="1"/>
          <w:bCs w:val="1"/>
          <w:rtl w:val="0"/>
        </w:rPr>
        <w:t xml:space="preserve">第11条（成果物の利用）</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1．甲は成果物を自己の事業活動のために利用できる。</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2．甲は乙の事前承諾なく成果物を改変し、又は第三者へ再許諾してはならない。ただし著作権譲渡後はこの限りでない。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pexwvvsmuwuh" w:id="12"/>
      <w:bookmarkEnd w:id="12"/>
      <w:r w:rsidDel="00000000" w:rsidR="00000000" w:rsidRPr="00000000">
        <w:rPr>
          <w:rFonts w:ascii="Arial Unicode MS" w:cs="Arial Unicode MS" w:eastAsia="Arial Unicode MS" w:hAnsi="Arial Unicode MS"/>
          <w:b w:val="1"/>
          <w:bCs w:val="1"/>
          <w:rtl w:val="0"/>
        </w:rPr>
        <w:t xml:space="preserve">第12条（実績公開）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乙は、自身の営業活動及びポートフォリオ掲載のため、成果物及び甲の名称を実績として公開できるものとする。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ただし、甲が事前に書面で非公開を求めた場合はこの限りでない。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405bdtpj1zqi"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1．甲及び乙は、本契約に関連して知り得た相手方の営業上、技術上その他一切の非公知情報を秘密として取り扱う。</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2．相手方の事前承諾なく第三者へ開示してはならない。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3．法令又は公的機関の命令による場合を除く。</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4．本条の義務は契約終了後も3年間存続する。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nht9kw4be05t" w:id="14"/>
      <w:bookmarkEnd w:id="14"/>
      <w:r w:rsidDel="00000000" w:rsidR="00000000" w:rsidRPr="00000000">
        <w:rPr>
          <w:rFonts w:ascii="Arial Unicode MS" w:cs="Arial Unicode MS" w:eastAsia="Arial Unicode MS" w:hAnsi="Arial Unicode MS"/>
          <w:b w:val="1"/>
          <w:bCs w:val="1"/>
          <w:rtl w:val="0"/>
        </w:rPr>
        <w:t xml:space="preserve">第14条（再委託）</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乙は自己の責任において本業務の全部又は一部を第三者へ再委託できる。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yvazace69m8y" w:id="15"/>
      <w:bookmarkEnd w:id="15"/>
      <w:r w:rsidDel="00000000" w:rsidR="00000000" w:rsidRPr="00000000">
        <w:rPr>
          <w:rFonts w:ascii="Arial Unicode MS" w:cs="Arial Unicode MS" w:eastAsia="Arial Unicode MS" w:hAnsi="Arial Unicode MS"/>
          <w:b w:val="1"/>
          <w:bCs w:val="1"/>
          <w:rtl w:val="0"/>
        </w:rPr>
        <w:t xml:space="preserve">第15条（保証の否認）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1．乙は成果物について、売上向上、認知向上、ブランド価値向上その他特定の成果を保証しない。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2．乙は成果物の商標登録可能性又は法的有効性を保証しない。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av75dkna2kfo"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1．甲又は乙が本契約に違反し相手方へ損害を与えた場合、その直接かつ通常の損害を賠償する。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2．乙の賠償責任の上限は、甲が支払った報酬総額とする。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ただし故意又は重過失による場合を除く。</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b9euaka4usl7"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pp4j1a7xqnjg"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n1bo6yg93pdm" w:id="19"/>
      <w:bookmarkEnd w:id="19"/>
      <w:r w:rsidDel="00000000" w:rsidR="00000000" w:rsidRPr="00000000">
        <w:rPr>
          <w:rFonts w:ascii="Arial Unicode MS" w:cs="Arial Unicode MS" w:eastAsia="Arial Unicode MS" w:hAnsi="Arial Unicode MS"/>
          <w:b w:val="1"/>
          <w:bCs w:val="1"/>
          <w:rtl w:val="0"/>
        </w:rPr>
        <w:t xml:space="preserve">第19条（有効期間）</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本契約の有効期間は契約締結日から成果物の納品及び報酬支払完了日までとする。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ただし、第9条、第12条、第13条、第15条、第16条、第20条及び第21条は契約終了後も有効に存続する。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bto42xaev27v"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ornqshzh3o59"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9">
      <w:pPr>
        <w:spacing w:after="240" w:before="240" w:lineRule="auto"/>
        <w:rPr>
          <w:sz w:val="20"/>
          <w:szCs w:val="20"/>
        </w:rPr>
      </w:pPr>
      <w:r w:rsidDel="00000000" w:rsidR="00000000" w:rsidRPr="00000000">
        <w:rPr>
          <w:rtl w:val="0"/>
        </w:rPr>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8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