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59qa66kkaz5" w:id="0"/>
      <w:bookmarkEnd w:id="0"/>
      <w:r w:rsidDel="00000000" w:rsidR="00000000" w:rsidRPr="00000000">
        <w:rPr>
          <w:rFonts w:ascii="Arial Unicode MS" w:cs="Arial Unicode MS" w:eastAsia="Arial Unicode MS" w:hAnsi="Arial Unicode MS"/>
          <w:b w:val="1"/>
          <w:bCs w:val="1"/>
          <w:sz w:val="44"/>
          <w:szCs w:val="44"/>
          <w:rtl w:val="0"/>
        </w:rPr>
        <w:t xml:space="preserve">リタッチ施術同意書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施術者（以下「事業者」という。）が提供するリタッチ施術について、施術内容、注意事項、リスク等を十分に説明し、利用者（以下「お客様」という。）がその内容を理解し、自らの意思により施術を受けることを確認するために作成する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2irb886m19h"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リタッチ施術の実施にあたり、お客様が施術内容、期待される効果、施術の限界、リスクおよび注意事項について十分な説明を受け、理解したうえで施術を希望することを確認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awbq85umwh2r" w:id="2"/>
      <w:bookmarkEnd w:id="2"/>
      <w:r w:rsidDel="00000000" w:rsidR="00000000" w:rsidRPr="00000000">
        <w:rPr>
          <w:rFonts w:ascii="Arial Unicode MS" w:cs="Arial Unicode MS" w:eastAsia="Arial Unicode MS" w:hAnsi="Arial Unicode MS"/>
          <w:b w:val="1"/>
          <w:bCs w:val="1"/>
          <w:rtl w:val="0"/>
        </w:rPr>
        <w:t xml:space="preserve">第2条（リタッチ施術の内容）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1．リタッチ施術とは、過去に受けた施術部分について、色味、濃淡、形状、定着状態その他の仕上がりを調整または補正する目的で追加施術を行うことをいいます。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2．リタッチ施術は初回施術と同一の結果を保証するものではありません。</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3．施術内容および施術範囲は、事前のカウンセリングで確認した内容に従います。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81yc28oh0ef2" w:id="3"/>
      <w:bookmarkEnd w:id="3"/>
      <w:r w:rsidDel="00000000" w:rsidR="00000000" w:rsidRPr="00000000">
        <w:rPr>
          <w:rFonts w:ascii="Arial Unicode MS" w:cs="Arial Unicode MS" w:eastAsia="Arial Unicode MS" w:hAnsi="Arial Unicode MS"/>
          <w:b w:val="1"/>
          <w:bCs w:val="1"/>
          <w:rtl w:val="0"/>
        </w:rPr>
        <w:t xml:space="preserve">第3条（施術前の申告事項）</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お客様は、次の事項について正確に申告するものとします。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（1）現在の健康状態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（2）既往歴</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（3）服薬状況</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（4）妊娠または授乳の有無</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（5）アレルギーの有無</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（6）皮膚疾患の有無</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（7）その他施術に影響を及ぼす事項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お客様が重要事項を申告しなかったことにより生じた不利益については、事業者に故意または重大な過失がある場合を除き、事業者は責任を負いません。</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fwctue18ubsk" w:id="4"/>
      <w:bookmarkEnd w:id="4"/>
      <w:r w:rsidDel="00000000" w:rsidR="00000000" w:rsidRPr="00000000">
        <w:rPr>
          <w:rFonts w:ascii="Arial Unicode MS" w:cs="Arial Unicode MS" w:eastAsia="Arial Unicode MS" w:hAnsi="Arial Unicode MS"/>
          <w:b w:val="1"/>
          <w:bCs w:val="1"/>
          <w:rtl w:val="0"/>
        </w:rPr>
        <w:t xml:space="preserve">第4条（施術効果および個人差）</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1．施術結果には個人差があります。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2．肌質、体質、生活習慣、代謝その他の要因により、色味、定着率、左右差、濃淡等が異なる場合があります。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3．事業者は施術技術を提供しますが、特定の仕上がりを保証するものではありません。</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t04iieq55a1a" w:id="5"/>
      <w:bookmarkEnd w:id="5"/>
      <w:r w:rsidDel="00000000" w:rsidR="00000000" w:rsidRPr="00000000">
        <w:rPr>
          <w:rFonts w:ascii="Arial Unicode MS" w:cs="Arial Unicode MS" w:eastAsia="Arial Unicode MS" w:hAnsi="Arial Unicode MS"/>
          <w:b w:val="1"/>
          <w:bCs w:val="1"/>
          <w:rtl w:val="0"/>
        </w:rPr>
        <w:t xml:space="preserve">第5条（施術に伴うリスク）</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お客様は、施術に伴い次のような症状が生じる可能性があることを理解し、これに同意します。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（1）赤み</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（2）腫れ</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（3）痛み</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（4）出血</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（5）かゆみ</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（6）内出血</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（7）色ムラ</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（8）色素の定着不足</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（9）色素の過剰定着</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（10）感染症</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（11）アレルギー反応</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（12）瘢痕形成</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（13）その他通常想定される施術上の反応</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fx7p8jj3arr2" w:id="6"/>
      <w:bookmarkEnd w:id="6"/>
      <w:r w:rsidDel="00000000" w:rsidR="00000000" w:rsidRPr="00000000">
        <w:rPr>
          <w:rFonts w:ascii="Arial Unicode MS" w:cs="Arial Unicode MS" w:eastAsia="Arial Unicode MS" w:hAnsi="Arial Unicode MS"/>
          <w:b w:val="1"/>
          <w:bCs w:val="1"/>
          <w:rtl w:val="0"/>
        </w:rPr>
        <w:t xml:space="preserve">第6条（施術を受けられない場合）</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事業者は、次のいずれかに該当すると判断した場合には、施術を中止または延期することができます。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（1）体調不良</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（2）発熱</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（3）感染症の疑い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（4）施術部位に炎症または外傷がある場合</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（5）医師から施術を控えるよう指示されている場合</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（6）その他安全な施術が困難と判断した場合</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gv95jzmxyx00" w:id="7"/>
      <w:bookmarkEnd w:id="7"/>
      <w:r w:rsidDel="00000000" w:rsidR="00000000" w:rsidRPr="00000000">
        <w:rPr>
          <w:rFonts w:ascii="Arial Unicode MS" w:cs="Arial Unicode MS" w:eastAsia="Arial Unicode MS" w:hAnsi="Arial Unicode MS"/>
          <w:b w:val="1"/>
          <w:bCs w:val="1"/>
          <w:rtl w:val="0"/>
        </w:rPr>
        <w:t xml:space="preserve">第7条（アフターケア）</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1．事業者は施術後のケア方法について説明します。</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2．お客様は説明された方法に従い、適切なアフターケアを実施するものとします。</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3．アフターケア不足またはお客様自身の管理不足に起因する色落ち、感染、炎症その他の不具合については、事業者に故意または重大な過失がある場合を除き責任を負いません。</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jmcn129j44y2" w:id="8"/>
      <w:bookmarkEnd w:id="8"/>
      <w:r w:rsidDel="00000000" w:rsidR="00000000" w:rsidRPr="00000000">
        <w:rPr>
          <w:rFonts w:ascii="Arial Unicode MS" w:cs="Arial Unicode MS" w:eastAsia="Arial Unicode MS" w:hAnsi="Arial Unicode MS"/>
          <w:b w:val="1"/>
          <w:bCs w:val="1"/>
          <w:rtl w:val="0"/>
        </w:rPr>
        <w:t xml:space="preserve">第8条（リタッチ時期）</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1．適切なリタッチ時期は施術内容や個人差により異なります。</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2．推奨時期を超えて施術を受けた場合には、通常より色の定着や仕上がりに差が生じる場合があります。</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3．一定期間を経過した場合は、新規施術として取り扱うことがあります。</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edvaob6nn4f6" w:id="9"/>
      <w:bookmarkEnd w:id="9"/>
      <w:r w:rsidDel="00000000" w:rsidR="00000000" w:rsidRPr="00000000">
        <w:rPr>
          <w:rFonts w:ascii="Arial Unicode MS" w:cs="Arial Unicode MS" w:eastAsia="Arial Unicode MS" w:hAnsi="Arial Unicode MS"/>
          <w:b w:val="1"/>
          <w:bCs w:val="1"/>
          <w:rtl w:val="0"/>
        </w:rPr>
        <w:t xml:space="preserve">第9条（料金）</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1．リタッチ施術料金は、事前に提示された料金表または見積内容によります。</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2．追加施術が必要となる場合には、事前説明を行い、お客様の承諾を得たうえで実施します。</w:t>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k778ob54lm9r" w:id="10"/>
      <w:bookmarkEnd w:id="10"/>
      <w:r w:rsidDel="00000000" w:rsidR="00000000" w:rsidRPr="00000000">
        <w:rPr>
          <w:rFonts w:ascii="Arial Unicode MS" w:cs="Arial Unicode MS" w:eastAsia="Arial Unicode MS" w:hAnsi="Arial Unicode MS"/>
          <w:b w:val="1"/>
          <w:bCs w:val="1"/>
          <w:rtl w:val="0"/>
        </w:rPr>
        <w:t xml:space="preserve">第10条（キャンセル）</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予約変更またはキャンセルについては、事業者が別途定めるキャンセルポリシーに従うものとします。</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nwoelf35pbr1" w:id="11"/>
      <w:bookmarkEnd w:id="11"/>
      <w:r w:rsidDel="00000000" w:rsidR="00000000" w:rsidRPr="00000000">
        <w:rPr>
          <w:rFonts w:ascii="Arial Unicode MS" w:cs="Arial Unicode MS" w:eastAsia="Arial Unicode MS" w:hAnsi="Arial Unicode MS"/>
          <w:b w:val="1"/>
          <w:bCs w:val="1"/>
          <w:rtl w:val="0"/>
        </w:rPr>
        <w:t xml:space="preserve">第11条（免責事項）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1．施術結果には個人差があるため、仕上がりの好みや期待との差異のみを理由とした返金または損害賠償には応じられません。</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2．天災、感染症、体調変化その他事業者の責めに帰さない事由により施術が延期または中止となる場合があります。</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3．事業者は、故意または重大な過失がある場合を除き、通常予見できない特別損害について責任を負いません。</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ombut28akq4l" w:id="12"/>
      <w:bookmarkEnd w:id="12"/>
      <w:r w:rsidDel="00000000" w:rsidR="00000000" w:rsidRPr="00000000">
        <w:rPr>
          <w:rFonts w:ascii="Arial Unicode MS" w:cs="Arial Unicode MS" w:eastAsia="Arial Unicode MS" w:hAnsi="Arial Unicode MS"/>
          <w:b w:val="1"/>
          <w:bCs w:val="1"/>
          <w:rtl w:val="0"/>
        </w:rPr>
        <w:t xml:space="preserve">第12条（個人情報の取扱い）</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事業者は、お客様から取得した個人情報を、施術管理、予約管理、法令対応その他業務上必要な範囲において適切に利用・管理します。</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6uwnvnvjrq"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本同意書に定めのない事項または本同意書の解釈に疑義が生じた場合には、事業者とお客様は誠実に協議し解決するものとします。</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ibkxu815trcc" w:id="14"/>
      <w:bookmarkEnd w:id="14"/>
      <w:r w:rsidDel="00000000" w:rsidR="00000000" w:rsidRPr="00000000">
        <w:rPr>
          <w:rFonts w:ascii="Arial Unicode MS" w:cs="Arial Unicode MS" w:eastAsia="Arial Unicode MS" w:hAnsi="Arial Unicode MS"/>
          <w:b w:val="1"/>
          <w:bCs w:val="1"/>
          <w:rtl w:val="0"/>
        </w:rPr>
        <w:t xml:space="preserve">第14条（準拠法および合意管轄）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本同意書は日本法に準拠し、本同意書に関する紛争については、事業者の所在地を管轄する地方裁判所または簡易裁判所を第一審の専属的合意管轄裁判所とします。</w:t>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uqczf0eur6n" w:id="15"/>
      <w:bookmarkEnd w:id="15"/>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私は、本同意書の内容について十分な説明を受け、その内容を理解したうえで、自らの意思によりリタッチ施術を受けることに同意します。</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【お客様】</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