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7npajrtk6ss3" w:id="0"/>
      <w:bookmarkEnd w:id="0"/>
      <w:r w:rsidDel="00000000" w:rsidR="00000000" w:rsidRPr="00000000">
        <w:rPr>
          <w:rFonts w:ascii="Arial Unicode MS" w:cs="Arial Unicode MS" w:eastAsia="Arial Unicode MS" w:hAnsi="Arial Unicode MS"/>
          <w:b w:val="1"/>
          <w:bCs w:val="1"/>
          <w:sz w:val="44"/>
          <w:szCs w:val="44"/>
          <w:rtl w:val="0"/>
        </w:rPr>
        <w:t xml:space="preserve">限度付金銭消費貸借予約契約書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貸主●●（以下「甲」という。）と、借主●●（以下「乙」という。）とは、将来における金銭の貸付けに関し、次のとおり限度付金銭消費貸借予約契約（以下「本契約」という。）を締結する。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er1e4pdelihf"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本契約は、甲が乙に対し、一定の限度額の範囲内で、将来必要に応じて金銭を貸し付けることを予約し、その条件を定めることを目的とする。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e8xs199wguh9"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第2条（貸付限度額）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甲が乙に対して貸し付ける金銭の元本の合計額の限度は、金●●円とする。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g56rkkj15rxz"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第3条（個別貸付契約の成立）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甲は、乙からの貸付申込みがあった場合、自己の裁量により貸付けの可否を判断するものとし、必ずしも貸付けを行う義務を負わない。</w:t>
        <w:br w:type="textWrapping"/>
        <w:t xml:space="preserve">2　甲が貸付けを承諾し、金銭を交付した時点で、当該金額について金銭消費貸借契約（以下「個別契約」という。）が成立するものとする。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ri9nqyjeb1zd"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第4条（貸付条件）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個別契約における貸付日、貸付金額、利息、返済方法、返済期限その他の条件は、本契約の定めに従い、甲乙協議のうえ個別に定めるものとする。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a45tcnb5hea"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第5条（利息）</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個別契約に基づく貸付金には、利息を付すものとし、その利率は、利息制限法その他の法令の範囲内で、個別契約ごとに定める。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h1arcfxep3jj"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第6条（返済）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乙は、個別契約で定められた期限および方法に従い、元本および利息を返済するものとする。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uzof84yzebq5"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第7条（期限の利益の喪失）</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乙が次の各号のいずれかに該当した場合、乙は、当然に期限の利益を失い、甲からの通知または請求がなくても、直ちにすべての債務を弁済しなければならない。</w:t>
        <w:br w:type="textWrapping"/>
        <w:t xml:space="preserve">一　返済を怠ったとき</w:t>
        <w:br w:type="textWrapping"/>
        <w:t xml:space="preserve">二　支払停止、破産手続開始、民事再生手続開始等の申立てがあったとき</w:t>
        <w:br w:type="textWrapping"/>
        <w:t xml:space="preserve">三　信用状態が著しく悪化したと甲が合理的に判断したとき</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9f0jdt53zxxx"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第8条（担保および保証）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甲は、必要と認めた場合、乙に対し、担保の提供または第三者による保証を求めることができる。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rq77c1mjf51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日の●か月前までに、甲乙いずれからも書面による解約の意思表示がない場合には、本契約は同一条件にて●年間更新され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4hjtacfu1eym"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甲は、乙が本契約または個別契約に違反した場合、書面による通知をもって本契約の全部または一部を解除することができる。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l1h8qsc78r7g"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第11条（譲渡禁止）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乙は、本契約または個別契約に基づく権利義務を、甲の事前の書面による承諾なく、第三者に譲渡し、または担保に供してはならない。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b0mrimza5vxl"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甲または乙は、本契約に違反し、相手方に損害を与えた場合には、当該損害を賠償する責任を負うものとする。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26h9trtohkbv"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ywg1nkr2cmw2"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氏名（名称）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氏名（名称）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