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9j996yscpdf" w:id="0"/>
      <w:bookmarkEnd w:id="0"/>
      <w:r w:rsidDel="00000000" w:rsidR="00000000" w:rsidRPr="00000000">
        <w:rPr>
          <w:rFonts w:ascii="Arial Unicode MS" w:cs="Arial Unicode MS" w:eastAsia="Arial Unicode MS" w:hAnsi="Arial Unicode MS"/>
          <w:b w:val="1"/>
          <w:bCs w:val="1"/>
          <w:sz w:val="44"/>
          <w:szCs w:val="44"/>
          <w:rtl w:val="0"/>
        </w:rPr>
        <w:t xml:space="preserve">NOC（ノンオペレーションチャージ）同意書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NOC（ノンオペレーションチャージ）同意書（以下「本同意書」という。）は、貸渡事業者（以下「事業者」という。）が貸し渡す車両について、利用者（以下「利用者」という。）が事故、故障、汚損その他の事由により車両を通常どおり貸し出すことができなくなった場合の営業補償等に関する取扱いについて定めるもの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n4x3t0j8wzk6"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利用者が借受ける車両について、事故、故障、破損、汚損その他の事由により事業者が営業上の損失を被る場合のノンオペレーションチャージ（以下「NOC」という。）の負担条件を明確にし、利用者及び事業者双方の権利義務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zoglqxut6hv" w:id="2"/>
      <w:bookmarkEnd w:id="2"/>
      <w:r w:rsidDel="00000000" w:rsidR="00000000" w:rsidRPr="00000000">
        <w:rPr>
          <w:rFonts w:ascii="Arial Unicode MS" w:cs="Arial Unicode MS" w:eastAsia="Arial Unicode MS" w:hAnsi="Arial Unicode MS"/>
          <w:b w:val="1"/>
          <w:bCs w:val="1"/>
          <w:rtl w:val="0"/>
        </w:rPr>
        <w:t xml:space="preserve">第2条（NOCの定義）</w:t>
      </w:r>
    </w:p>
    <w:p w:rsidR="00000000" w:rsidDel="00000000" w:rsidP="00000000" w:rsidRDefault="00000000" w:rsidRPr="00000000" w14:paraId="0000000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NOCとは、利用者の責任の有無を問わず、貸渡期間中に発生した事故、故障、破損、汚損その他の事由により、当該車両を修理、清掃、点検その他必要な措置のため貸し出すことができなくなった場合に発生する営業補償金をいう。</w:t>
      </w:r>
    </w:p>
    <w:p w:rsidR="00000000" w:rsidDel="00000000" w:rsidP="00000000" w:rsidRDefault="00000000" w:rsidRPr="00000000" w14:paraId="0000000A">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NOCは、修理費、免責額、損害賠償金その他の費用とは別に発生するものとする。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zgpyyi9hparl" w:id="3"/>
      <w:bookmarkEnd w:id="3"/>
      <w:r w:rsidDel="00000000" w:rsidR="00000000" w:rsidRPr="00000000">
        <w:rPr>
          <w:rFonts w:ascii="Arial Unicode MS" w:cs="Arial Unicode MS" w:eastAsia="Arial Unicode MS" w:hAnsi="Arial Unicode MS"/>
          <w:b w:val="1"/>
          <w:bCs w:val="1"/>
          <w:rtl w:val="0"/>
        </w:rPr>
        <w:t xml:space="preserve">第3条（利用者の同意）</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利用者は、本同意書の内容を十分理解したうえで、NOCの支払義務が発生する場合があることに同意する。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kjhnsia8tv9q" w:id="4"/>
      <w:bookmarkEnd w:id="4"/>
      <w:r w:rsidDel="00000000" w:rsidR="00000000" w:rsidRPr="00000000">
        <w:rPr>
          <w:rFonts w:ascii="Arial Unicode MS" w:cs="Arial Unicode MS" w:eastAsia="Arial Unicode MS" w:hAnsi="Arial Unicode MS"/>
          <w:b w:val="1"/>
          <w:bCs w:val="1"/>
          <w:rtl w:val="0"/>
        </w:rPr>
        <w:t xml:space="preserve">第4条（NOCの発生事由）</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次の各号のいずれかに該当する場合、利用者はNOCを負担するものとする。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（1）交通事故が発生した場合</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（2）利用者の過失により車両を損傷した場合</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（3）利用者又は同乗者による車内外の著しい汚損、臭気付着又は破損が生じた場合</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（4）利用者の管理不十分により盗難、いたずら又は車両損傷が発生した場合</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（5）鍵の紛失、装備品の破損又は紛失により営業に支障が生じた場合</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（6）その他、通常の貸渡しができない状態となった場合</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hzo4mq5b9meu" w:id="5"/>
      <w:bookmarkEnd w:id="5"/>
      <w:r w:rsidDel="00000000" w:rsidR="00000000" w:rsidRPr="00000000">
        <w:rPr>
          <w:rFonts w:ascii="Arial Unicode MS" w:cs="Arial Unicode MS" w:eastAsia="Arial Unicode MS" w:hAnsi="Arial Unicode MS"/>
          <w:b w:val="1"/>
          <w:bCs w:val="1"/>
          <w:rtl w:val="0"/>
        </w:rPr>
        <w:t xml:space="preserve">第5条（NOCの金額）</w:t>
      </w:r>
    </w:p>
    <w:p w:rsidR="00000000" w:rsidDel="00000000" w:rsidP="00000000" w:rsidRDefault="00000000" w:rsidRPr="00000000" w14:paraId="0000001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NOCは、事業者が別途定める料金表又は貸渡約款等に従うものとする。</w:t>
      </w:r>
    </w:p>
    <w:p w:rsidR="00000000" w:rsidDel="00000000" w:rsidP="00000000" w:rsidRDefault="00000000" w:rsidRPr="00000000" w14:paraId="0000001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NOCの金額は、車両の自走可否その他営業への影響を踏まえて定めるものとし、利用者はこれに異議を述べないものとする。</w:t>
      </w:r>
    </w:p>
    <w:p w:rsidR="00000000" w:rsidDel="00000000" w:rsidP="00000000" w:rsidRDefault="00000000" w:rsidRPr="00000000" w14:paraId="0000001B">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NOC料金の例は、次のとおりとする。</w:t>
      </w:r>
    </w:p>
    <w:tbl>
      <w:tblPr>
        <w:tblStyle w:val="Table1"/>
        <w:tblW w:w="86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95"/>
        <w:gridCol w:w="3645"/>
        <w:tblGridChange w:id="0">
          <w:tblGrid>
            <w:gridCol w:w="4995"/>
            <w:gridCol w:w="3645"/>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区分</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NOC金額（税込）</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rPr>
                <w:sz w:val="20"/>
                <w:szCs w:val="20"/>
              </w:rPr>
            </w:pPr>
            <w:r w:rsidDel="00000000" w:rsidR="00000000" w:rsidRPr="00000000">
              <w:rPr>
                <w:rFonts w:ascii="Arial Unicode MS" w:cs="Arial Unicode MS" w:eastAsia="Arial Unicode MS" w:hAnsi="Arial Unicode MS"/>
                <w:sz w:val="20"/>
                <w:szCs w:val="20"/>
                <w:rtl w:val="0"/>
              </w:rPr>
              <w:t xml:space="preserve">自走して返却できた場合</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rPr>
                <w:sz w:val="20"/>
                <w:szCs w:val="20"/>
              </w:rPr>
            </w:pPr>
            <w:r w:rsidDel="00000000" w:rsidR="00000000" w:rsidRPr="00000000">
              <w:rPr>
                <w:rFonts w:ascii="Arial Unicode MS" w:cs="Arial Unicode MS" w:eastAsia="Arial Unicode MS" w:hAnsi="Arial Unicode MS"/>
                <w:sz w:val="20"/>
                <w:szCs w:val="20"/>
                <w:rtl w:val="0"/>
              </w:rPr>
              <w:t xml:space="preserve">20,000円</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rPr>
                <w:sz w:val="20"/>
                <w:szCs w:val="20"/>
              </w:rPr>
            </w:pPr>
            <w:r w:rsidDel="00000000" w:rsidR="00000000" w:rsidRPr="00000000">
              <w:rPr>
                <w:rFonts w:ascii="Arial Unicode MS" w:cs="Arial Unicode MS" w:eastAsia="Arial Unicode MS" w:hAnsi="Arial Unicode MS"/>
                <w:sz w:val="20"/>
                <w:szCs w:val="20"/>
                <w:rtl w:val="0"/>
              </w:rPr>
              <w:t xml:space="preserve">自走できずレッカー搬送となった場合</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rPr>
                <w:sz w:val="20"/>
                <w:szCs w:val="20"/>
              </w:rPr>
            </w:pPr>
            <w:r w:rsidDel="00000000" w:rsidR="00000000" w:rsidRPr="00000000">
              <w:rPr>
                <w:rFonts w:ascii="Arial Unicode MS" w:cs="Arial Unicode MS" w:eastAsia="Arial Unicode MS" w:hAnsi="Arial Unicode MS"/>
                <w:sz w:val="20"/>
                <w:szCs w:val="20"/>
                <w:rtl w:val="0"/>
              </w:rPr>
              <w:t xml:space="preserve">50,000円</w:t>
            </w:r>
          </w:p>
        </w:tc>
      </w:tr>
    </w:tbl>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※実際の金額は事業者が別途定める料金表による。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suldjp2ydfha" w:id="6"/>
      <w:bookmarkEnd w:id="6"/>
      <w:r w:rsidDel="00000000" w:rsidR="00000000" w:rsidRPr="00000000">
        <w:rPr>
          <w:rFonts w:ascii="Arial Unicode MS" w:cs="Arial Unicode MS" w:eastAsia="Arial Unicode MS" w:hAnsi="Arial Unicode MS"/>
          <w:b w:val="1"/>
          <w:bCs w:val="1"/>
          <w:rtl w:val="0"/>
        </w:rPr>
        <w:t xml:space="preserve">第6条（保険及び補償制度との関係）</w:t>
      </w:r>
    </w:p>
    <w:p w:rsidR="00000000" w:rsidDel="00000000" w:rsidP="00000000" w:rsidRDefault="00000000" w:rsidRPr="00000000" w14:paraId="00000025">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自動車保険、車両保険又は免責補償制度に加入している場合であっても、別途定めがある場合を除き、NOCは補償対象外とする。</w:t>
      </w:r>
    </w:p>
    <w:p w:rsidR="00000000" w:rsidDel="00000000" w:rsidP="00000000" w:rsidRDefault="00000000" w:rsidRPr="00000000" w14:paraId="00000026">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事業者がNOC免除制度を設けている場合には、その適用条件に従うものとする。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asibqm2f6t47" w:id="7"/>
      <w:bookmarkEnd w:id="7"/>
      <w:r w:rsidDel="00000000" w:rsidR="00000000" w:rsidRPr="00000000">
        <w:rPr>
          <w:rFonts w:ascii="Arial Unicode MS" w:cs="Arial Unicode MS" w:eastAsia="Arial Unicode MS" w:hAnsi="Arial Unicode MS"/>
          <w:b w:val="1"/>
          <w:bCs w:val="1"/>
          <w:rtl w:val="0"/>
        </w:rPr>
        <w:t xml:space="preserve">第7条（事故発生時の対応）</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利用者は、事故、故障その他異常が発生した場合には、直ちに次の対応を行うものとする。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（1）負傷者の救護</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（2）警察への届出</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（3）必要に応じた消防その他関係機関への連絡</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（4）事業者への速やかな報告</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（5）保険会社その他事業者が指定する者への協力</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uy9udscy40c" w:id="8"/>
      <w:bookmarkEnd w:id="8"/>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利用者は、次の各号の行為を行ってはならない。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（1）事故又は損傷を隠して返却すること</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（2）事業者に無断で修理又は改造を行うこと</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（3）虚偽の事故報告をすること</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（4）故意又は重大な過失により損傷を拡大させること</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（5）その他事業者の営業を著しく妨げる行為</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k6hnic7ibzlf" w:id="9"/>
      <w:bookmarkEnd w:id="9"/>
      <w:r w:rsidDel="00000000" w:rsidR="00000000" w:rsidRPr="00000000">
        <w:rPr>
          <w:rFonts w:ascii="Arial Unicode MS" w:cs="Arial Unicode MS" w:eastAsia="Arial Unicode MS" w:hAnsi="Arial Unicode MS"/>
          <w:b w:val="1"/>
          <w:bCs w:val="1"/>
          <w:rtl w:val="0"/>
        </w:rPr>
        <w:t xml:space="preserve">第9条（損害賠償）</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利用者の故意又は重大な過失により事業者にNOCを超える損害が発生した場合には、利用者はその損害を賠償しなければならない。</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mntnkzfwykq7" w:id="10"/>
      <w:bookmarkEnd w:id="10"/>
      <w:r w:rsidDel="00000000" w:rsidR="00000000" w:rsidRPr="00000000">
        <w:rPr>
          <w:rFonts w:ascii="Arial Unicode MS" w:cs="Arial Unicode MS" w:eastAsia="Arial Unicode MS" w:hAnsi="Arial Unicode MS"/>
          <w:b w:val="1"/>
          <w:bCs w:val="1"/>
          <w:rtl w:val="0"/>
        </w:rPr>
        <w:t xml:space="preserve">第10条（協議事項）</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本同意書に定めのない事項又は本同意書の解釈について疑義が生じた場合には、利用者及び事業者は誠実に協議し解決するものとする。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tjo1loafhhlh" w:id="11"/>
      <w:bookmarkEnd w:id="11"/>
      <w:r w:rsidDel="00000000" w:rsidR="00000000" w:rsidRPr="00000000">
        <w:rPr>
          <w:rFonts w:ascii="Arial Unicode MS" w:cs="Arial Unicode MS" w:eastAsia="Arial Unicode MS" w:hAnsi="Arial Unicode MS"/>
          <w:b w:val="1"/>
          <w:bCs w:val="1"/>
          <w:rtl w:val="0"/>
        </w:rPr>
        <w:t xml:space="preserve">第11条（合意管轄）</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本同意書に関して紛争が生じた場合には、事業者の本店所在地を管轄する地方裁判所又は簡易裁判所を第一審の専属的合意管轄裁判所とする。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g2gjjauh8tjt" w:id="12"/>
      <w:bookmarkEnd w:id="12"/>
      <w:r w:rsidDel="00000000" w:rsidR="00000000" w:rsidRPr="00000000">
        <w:rPr>
          <w:rFonts w:ascii="Arial Unicode MS" w:cs="Arial Unicode MS" w:eastAsia="Arial Unicode MS" w:hAnsi="Arial Unicode MS"/>
          <w:b w:val="1"/>
          <w:bCs w:val="1"/>
          <w:rtl w:val="0"/>
        </w:rPr>
        <w:t xml:space="preserve">同意欄</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私は、本同意書の内容について十分な説明を受け、その内容を理解したうえで同意します。</w:t>
      </w:r>
    </w:p>
    <w:p w:rsidR="00000000" w:rsidDel="00000000" w:rsidP="00000000" w:rsidRDefault="00000000" w:rsidRPr="00000000" w14:paraId="0000004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4">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6">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9">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事業者</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会社名：____________________________________</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担当者名：__________________________________</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利用者</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氏名：______________________________________</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住所：______________________________________</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電話番号：__________________________________</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署名：______________________________________</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同意日：_______年_______月_______日</w:t>
      </w:r>
    </w:p>
    <w:p w:rsidR="00000000" w:rsidDel="00000000" w:rsidP="00000000" w:rsidRDefault="00000000" w:rsidRPr="00000000" w14:paraId="0000005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