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ddgk9net6dv" w:id="0"/>
      <w:bookmarkEnd w:id="0"/>
      <w:r w:rsidDel="00000000" w:rsidR="00000000" w:rsidRPr="00000000">
        <w:rPr>
          <w:rFonts w:ascii="Arial Unicode MS" w:cs="Arial Unicode MS" w:eastAsia="Arial Unicode MS" w:hAnsi="Arial Unicode MS"/>
          <w:b w:val="1"/>
          <w:bCs w:val="1"/>
          <w:sz w:val="44"/>
          <w:szCs w:val="44"/>
          <w:rtl w:val="0"/>
        </w:rPr>
        <w:t xml:space="preserve">狂犬病予防接種同意書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当院」といいます。）**と、飼い主（以下「飼い主」といいます。）は、愛犬に対する狂犬病予防接種について、以下の内容を確認し、これに同意の上で予防接種を受け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i02pyw9ri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本同意書は、狂犬病予防接種の実施に際し、接種内容、接種に伴うリスク、接種後の注意事項その他必要事項を確認し、飼い主の理解と同意を得ることを目的とします。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ikiq090fh9w"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本同意書の対象となる動物は、以下のとおりとします。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（1）犬の名前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（2）犬種</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（3）性別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（4）生年月日又は推定年齢</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（5）毛色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（6）マイクロチップ番号（任意）</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（7）登録番号（任意）</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z8md2gpoe0hl" w:id="3"/>
      <w:bookmarkEnd w:id="3"/>
      <w:r w:rsidDel="00000000" w:rsidR="00000000" w:rsidRPr="00000000">
        <w:rPr>
          <w:rFonts w:ascii="Arial Unicode MS" w:cs="Arial Unicode MS" w:eastAsia="Arial Unicode MS" w:hAnsi="Arial Unicode MS"/>
          <w:b w:val="1"/>
          <w:bCs w:val="1"/>
          <w:rtl w:val="0"/>
        </w:rPr>
        <w:t xml:space="preserve">第3条（予防接種の内容）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1．当院は、狂犬病予防法その他関係法令に基づき、狂犬病予防ワクチンを接種します。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2．接種するワクチンの種類、製造番号、接種日その他必要事項は、当院の診療記録に記録します。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3．接種方法、使用薬剤その他医学的判断については、獣医師の裁量により決定します。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3yy0f2yhu0m5" w:id="4"/>
      <w:bookmarkEnd w:id="4"/>
      <w:r w:rsidDel="00000000" w:rsidR="00000000" w:rsidRPr="00000000">
        <w:rPr>
          <w:rFonts w:ascii="Arial Unicode MS" w:cs="Arial Unicode MS" w:eastAsia="Arial Unicode MS" w:hAnsi="Arial Unicode MS"/>
          <w:b w:val="1"/>
          <w:bCs w:val="1"/>
          <w:rtl w:val="0"/>
        </w:rPr>
        <w:t xml:space="preserve">第4条（健康状態の確認）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飼い主は、接種前に次の事項について正確に申告するものとします。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（1）現在の体調</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（2）既往歴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（3）持病の有無</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（4）現在治療中の疾病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（5）服薬状況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（6）過去のワクチン接種歴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（7）過去の副反応歴</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（8）妊娠又は授乳の有無</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（9）その他診療上重要な事項</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z4ihagl03dq" w:id="5"/>
      <w:bookmarkEnd w:id="5"/>
      <w:r w:rsidDel="00000000" w:rsidR="00000000" w:rsidRPr="00000000">
        <w:rPr>
          <w:rFonts w:ascii="Arial Unicode MS" w:cs="Arial Unicode MS" w:eastAsia="Arial Unicode MS" w:hAnsi="Arial Unicode MS"/>
          <w:b w:val="1"/>
          <w:bCs w:val="1"/>
          <w:rtl w:val="0"/>
        </w:rPr>
        <w:t xml:space="preserve">第5条（接種の延期又は中止）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当院は、次のいずれかに該当すると判断した場合、予防接種を延期又は中止することがあります。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（1）発熱その他体調不良が認められる場合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（2）重篤な疾患が疑われる場合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（3）著しく衰弱している場合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（4）ワクチン接種が適当でないと獣医師が判断した場合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（5）その他安全な接種が困難であると判断した場合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v8dd3fh6l8" w:id="6"/>
      <w:bookmarkEnd w:id="6"/>
      <w:r w:rsidDel="00000000" w:rsidR="00000000" w:rsidRPr="00000000">
        <w:rPr>
          <w:rFonts w:ascii="Arial Unicode MS" w:cs="Arial Unicode MS" w:eastAsia="Arial Unicode MS" w:hAnsi="Arial Unicode MS"/>
          <w:b w:val="1"/>
          <w:bCs w:val="1"/>
          <w:rtl w:val="0"/>
        </w:rPr>
        <w:t xml:space="preserve">第6条（副反応及びリスク）</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1．狂犬病予防接種には、まれに副反応が生じることがあります。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2．主な副反応には、次のようなものがあります。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（1）接種部位の腫れ</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（2）疼痛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（3）元気消失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（4）食欲低下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（5）発熱</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（6）嘔吐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（7）下痢</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（8）顔面腫脹</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（9）アレルギー反応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（10）アナフィラキシー反応</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3．極めてまれに重篤な副反応又は死亡に至る可能性があります。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4．当院は、適切な診療を実施しますが、副反応が完全に発生しないことを保証するものではありません。</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dquj807jez6o" w:id="7"/>
      <w:bookmarkEnd w:id="7"/>
      <w:r w:rsidDel="00000000" w:rsidR="00000000" w:rsidRPr="00000000">
        <w:rPr>
          <w:rFonts w:ascii="Arial Unicode MS" w:cs="Arial Unicode MS" w:eastAsia="Arial Unicode MS" w:hAnsi="Arial Unicode MS"/>
          <w:b w:val="1"/>
          <w:bCs w:val="1"/>
          <w:rtl w:val="0"/>
        </w:rPr>
        <w:t xml:space="preserve">第7条（接種後の注意事項）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飼い主は、接種後、次の事項を遵守するものとします。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（1）当日は安静にさせること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（2）激しい運動を控えること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（3）異常が認められた場合は速やかに当院又は最寄りの動物病院へ連絡すること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（4）接種当日はシャンプーその他負担となる行為を控えること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（5）獣医師から個別に指示された事項を遵守すること</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hcty93ds731e" w:id="8"/>
      <w:bookmarkEnd w:id="8"/>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接種後に急性アレルギー反応その他緊急治療が必要となった場合には、当院は飼い主への連絡に努めた上で、動物の生命及び健康を優先し、必要と判断する処置を実施できるものとします。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d1svn1ignf4o" w:id="9"/>
      <w:bookmarkEnd w:id="9"/>
      <w:r w:rsidDel="00000000" w:rsidR="00000000" w:rsidRPr="00000000">
        <w:rPr>
          <w:rFonts w:ascii="Arial Unicode MS" w:cs="Arial Unicode MS" w:eastAsia="Arial Unicode MS" w:hAnsi="Arial Unicode MS"/>
          <w:b w:val="1"/>
          <w:bCs w:val="1"/>
          <w:rtl w:val="0"/>
        </w:rPr>
        <w:t xml:space="preserve">第9条（費用）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1．予防接種費用は当院所定の料金とします。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2．副反応その他により追加診療が必要となった場合は、その診療費が別途発生することがあります。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s95v1cs2yb8u" w:id="10"/>
      <w:bookmarkEnd w:id="10"/>
      <w:r w:rsidDel="00000000" w:rsidR="00000000" w:rsidRPr="00000000">
        <w:rPr>
          <w:rFonts w:ascii="Arial Unicode MS" w:cs="Arial Unicode MS" w:eastAsia="Arial Unicode MS" w:hAnsi="Arial Unicode MS"/>
          <w:b w:val="1"/>
          <w:bCs w:val="1"/>
          <w:rtl w:val="0"/>
        </w:rPr>
        <w:t xml:space="preserve">第10条（登録手続）</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狂犬病予防法その他関係法令に基づく登録、届出又は済票交付手続については、自治体の制度及び当院の取扱いに従うものとします。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5ns1ykd2a7" w:id="11"/>
      <w:bookmarkEnd w:id="11"/>
      <w:r w:rsidDel="00000000" w:rsidR="00000000" w:rsidRPr="00000000">
        <w:rPr>
          <w:rFonts w:ascii="Arial Unicode MS" w:cs="Arial Unicode MS" w:eastAsia="Arial Unicode MS" w:hAnsi="Arial Unicode MS"/>
          <w:b w:val="1"/>
          <w:bCs w:val="1"/>
          <w:rtl w:val="0"/>
        </w:rPr>
        <w:t xml:space="preserve">第11条（個人情報及び診療情報）</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1．当院は、飼い主及び対象動物に関する個人情報及び診療情報を、診療、法令上必要な手続その他適正な業務運営のために利用します。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2．法令に基づく場合を除き、本人の同意なく第三者へ提供しません。</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jxuy3xynew7i"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1．当院は、獣医学上一般的に認められた方法により診療及び接種を行います。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2．ワクチンには一定の副反応リスクが存在することから、副反応又は体質等に起因して発生した結果について、当院に故意又は重大な過失がある場合を除き、その責任を負いません。</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3．飼い主による健康状態の申告漏れ又は虚偽申告に起因する不利益については、当院は責任を負いません。</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8feepndtyhwr"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本同意書に定めのない事項又は疑義が生じた場合は、当院及び飼い主は誠意をもって協議し、円満な解決を図るものとします。</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私は、狂犬病予防接種について獣医師から十分な説明を受け、その内容及び副反応等のリスクを理解した上で、愛犬への狂犬病予防接種を希望し、本同意書の内容に同意します。</w:t>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接種日</w:t>
        <w:br w:type="textWrapping"/>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zbgodrp0e444" w:id="14"/>
      <w:bookmarkEnd w:id="14"/>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4k1e01afbfzd"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6mrwyu5ul1af"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動物病院</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