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qcz1sbdko05" w:id="0"/>
      <w:bookmarkEnd w:id="0"/>
      <w:r w:rsidDel="00000000" w:rsidR="00000000" w:rsidRPr="00000000">
        <w:rPr>
          <w:rFonts w:ascii="Arial Unicode MS" w:cs="Arial Unicode MS" w:eastAsia="Arial Unicode MS" w:hAnsi="Arial Unicode MS"/>
          <w:b w:val="1"/>
          <w:bCs w:val="1"/>
          <w:sz w:val="44"/>
          <w:szCs w:val="44"/>
          <w:rtl w:val="0"/>
        </w:rPr>
        <w:t xml:space="preserve">営業資料利用同意書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資料利用同意書（以下「本同意書」という。）は、●●株式会社（以下「甲」という。）が提供する営業資料等について、利用者（以下「乙」という。）が利用条件に同意す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m9m1x6tchu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本同意書は、甲が乙に提供する営業資料の利用条件を定め、営業資料の適正な利用及び知的財産権の保護を図ることを目的とする。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tfczvjej2ql" w:id="2"/>
      <w:bookmarkEnd w:id="2"/>
      <w:r w:rsidDel="00000000" w:rsidR="00000000" w:rsidRPr="00000000">
        <w:rPr>
          <w:rFonts w:ascii="Arial Unicode MS" w:cs="Arial Unicode MS" w:eastAsia="Arial Unicode MS" w:hAnsi="Arial Unicode MS"/>
          <w:b w:val="1"/>
          <w:bCs w:val="1"/>
          <w:rtl w:val="0"/>
        </w:rPr>
        <w:t xml:space="preserve">第2条（営業資料の定義）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本同意書において「営業資料」とは、甲が乙に提供する次の各号に掲げる資料その他一切の情報をいう。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提案書</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商品・サービス説明資料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パンフレット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価格表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見積資料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プレゼンテーション資料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営業マニュアル</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事例紹介資料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動画、画像、音声その他の電子データ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前各号に付随して提供される資料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djbelcxh694"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乙は、営業資料を次の目的に限り利用するものとする。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甲の商品又はサービスの検討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甲との商談又は契約締結の検討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甲が書面又は電磁的方法により承認した目的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fj8m2abrdz0"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乙は、営業資料を自己の社内において利用することができる。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乙は、本同意書に定める場合を除き、営業資料を第三者へ提供、貸与、譲渡又は開示してはならない。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乙は、営業資料の全部又は一部を複製、転載、編集又は加工する場合には、事前に甲の書面による承諾を得なければならない。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id506jpklz47"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乙は、営業資料について、次の各号に掲げる行為を行ってはならない。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無断転載又は無断配布</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インターネットその他不特定多数が閲覧可能な媒体への掲載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自己又は第三者の商品又はサービスの営業活動への利用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営業資料の改変、改ざん又は内容の一部削除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営業資料を第三者へ販売又は再配布する行為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法令又は公序良俗に反する目的で利用する行為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その他甲が不適切と認める行為</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pbncfmuds0n"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営業資料に関する著作権、商標権その他一切の知的財産権は、甲又は正当な権利を有する第三者に帰属する。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本同意書は、営業資料に係る知的財産権その他の権利を乙へ譲渡又は許諾するものではない。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2kexwf8oty4"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乙は、営業資料に営業上又は技術上の秘密情報が含まれる場合には、善良な管理者の注意をもって管理しなければならない。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乙は、甲の事前の承諾なく秘密情報を第三者へ開示又は漏えいしてはならない。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kxybi28bgzg" w:id="8"/>
      <w:bookmarkEnd w:id="8"/>
      <w:r w:rsidDel="00000000" w:rsidR="00000000" w:rsidRPr="00000000">
        <w:rPr>
          <w:rFonts w:ascii="Arial Unicode MS" w:cs="Arial Unicode MS" w:eastAsia="Arial Unicode MS" w:hAnsi="Arial Unicode MS"/>
          <w:b w:val="1"/>
          <w:bCs w:val="1"/>
          <w:rtl w:val="0"/>
        </w:rPr>
        <w:t xml:space="preserve">第8条（資料の返還又は削除）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甲が営業資料の返還、廃棄又は削除を求めた場合、乙は速やかにこれに従い、その完了を甲へ報告するものとする。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yvb3zbbyate7" w:id="9"/>
      <w:bookmarkEnd w:id="9"/>
      <w:r w:rsidDel="00000000" w:rsidR="00000000" w:rsidRPr="00000000">
        <w:rPr>
          <w:rFonts w:ascii="Arial Unicode MS" w:cs="Arial Unicode MS" w:eastAsia="Arial Unicode MS" w:hAnsi="Arial Unicode MS"/>
          <w:b w:val="1"/>
          <w:bCs w:val="1"/>
          <w:rtl w:val="0"/>
        </w:rPr>
        <w:t xml:space="preserve">第9条（保証の否認）</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甲は、営業資料の正確性、完全性、有用性、最新性又は特定目的への適合性について保証しない。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営業資料は参考情報として提供されるものであり、甲は乙の意思決定その他の結果について責任を負わない。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ld2lgys7r74e"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乙が本同意書に違反し、甲又は第三者へ損害を与えた場合には、乙はその損害を賠償しなければならない。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zh8pe5fkp61b"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甲及び乙は、自ら又は役員等が反社会的勢力に該当しないことを表明し保証する。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前項に違反した場合、相手方は何らの催告を要することなく本同意書を解除することができる。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4oowzmoii6ed" w:id="12"/>
      <w:bookmarkEnd w:id="12"/>
      <w:r w:rsidDel="00000000" w:rsidR="00000000" w:rsidRPr="00000000">
        <w:rPr>
          <w:rFonts w:ascii="Arial Unicode MS" w:cs="Arial Unicode MS" w:eastAsia="Arial Unicode MS" w:hAnsi="Arial Unicode MS"/>
          <w:b w:val="1"/>
          <w:bCs w:val="1"/>
          <w:rtl w:val="0"/>
        </w:rPr>
        <w:t xml:space="preserve">第12条（同意書の変更）</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甲は、法令改正、営業資料の内容変更その他必要がある場合には、本同意書を変更することができる。この場合、甲は変更内容を乙へ通知又は公表するものとする。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58a62q1bqs5t"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本同意書は、営業資料の提供日から効力を生じ、営業資料に関する利用及び秘密保持義務が終了するまで有効とする。ただし、第6条、第7条、第9条、第10条及び第14条は、本同意書終了後も有効に存続する。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ym5pr9azuwf" w:id="14"/>
      <w:bookmarkEnd w:id="14"/>
      <w:r w:rsidDel="00000000" w:rsidR="00000000" w:rsidRPr="00000000">
        <w:rPr>
          <w:rFonts w:ascii="Arial Unicode MS" w:cs="Arial Unicode MS" w:eastAsia="Arial Unicode MS" w:hAnsi="Arial Unicode MS"/>
          <w:b w:val="1"/>
          <w:bCs w:val="1"/>
          <w:rtl w:val="0"/>
        </w:rPr>
        <w:t xml:space="preserve">第14条（協議事項及び合意管轄）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本同意書に定めのない事項又は本同意書の解釈について疑義が生じた場合には、甲乙は誠意をもって協議し解決するものとする。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本同意書に関して訴訟の必要が生じた場合には、甲の本店所在地を管轄する地方裁判所を第一審の専属的合意管轄裁判所とする。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B">
      <w:pPr>
        <w:pStyle w:val="Heading4"/>
        <w:keepNext w:val="0"/>
        <w:keepLines w:val="0"/>
        <w:spacing w:after="40" w:before="240" w:lineRule="auto"/>
        <w:rPr>
          <w:b w:val="1"/>
          <w:bCs w:val="1"/>
          <w:color w:val="000000"/>
          <w:sz w:val="20"/>
          <w:szCs w:val="20"/>
        </w:rPr>
      </w:pPr>
      <w:bookmarkStart w:colFirst="0" w:colLast="0" w:name="_hi4j8voh32u7" w:id="15"/>
      <w:bookmarkEnd w:id="15"/>
      <w:r w:rsidDel="00000000" w:rsidR="00000000" w:rsidRPr="00000000">
        <w:rPr>
          <w:rtl w:val="0"/>
        </w:rPr>
      </w:r>
    </w:p>
    <w:p w:rsidR="00000000" w:rsidDel="00000000" w:rsidP="00000000" w:rsidRDefault="00000000" w:rsidRPr="00000000" w14:paraId="0000004C">
      <w:pPr>
        <w:pStyle w:val="Heading4"/>
        <w:keepNext w:val="0"/>
        <w:keepLines w:val="0"/>
        <w:spacing w:after="40" w:before="240" w:lineRule="auto"/>
        <w:rPr>
          <w:b w:val="1"/>
          <w:bCs w:val="1"/>
          <w:color w:val="000000"/>
          <w:sz w:val="20"/>
          <w:szCs w:val="20"/>
        </w:rPr>
      </w:pPr>
      <w:bookmarkStart w:colFirst="0" w:colLast="0" w:name="_rgbeoiyk3l2j" w:id="16"/>
      <w:bookmarkEnd w:id="16"/>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代表者：____________________________</w:t>
      </w:r>
    </w:p>
    <w:p w:rsidR="00000000" w:rsidDel="00000000" w:rsidP="00000000" w:rsidRDefault="00000000" w:rsidRPr="00000000" w14:paraId="00000052">
      <w:pPr>
        <w:pStyle w:val="Heading4"/>
        <w:keepNext w:val="0"/>
        <w:keepLines w:val="0"/>
        <w:spacing w:after="40" w:before="240" w:lineRule="auto"/>
        <w:rPr>
          <w:b w:val="1"/>
          <w:bCs w:val="1"/>
          <w:color w:val="000000"/>
          <w:sz w:val="20"/>
          <w:szCs w:val="20"/>
        </w:rPr>
      </w:pPr>
      <w:bookmarkStart w:colFirst="0" w:colLast="0" w:name="_4cjvsnnw14n5" w:id="17"/>
      <w:bookmarkEnd w:id="17"/>
      <w:r w:rsidDel="00000000" w:rsidR="00000000" w:rsidRPr="00000000">
        <w:rPr>
          <w:rtl w:val="0"/>
        </w:rPr>
      </w:r>
    </w:p>
    <w:p w:rsidR="00000000" w:rsidDel="00000000" w:rsidP="00000000" w:rsidRDefault="00000000" w:rsidRPr="00000000" w14:paraId="00000053">
      <w:pPr>
        <w:pStyle w:val="Heading4"/>
        <w:keepNext w:val="0"/>
        <w:keepLines w:val="0"/>
        <w:spacing w:after="40" w:before="240" w:lineRule="auto"/>
        <w:rPr>
          <w:b w:val="1"/>
          <w:bCs w:val="1"/>
          <w:color w:val="000000"/>
          <w:sz w:val="20"/>
          <w:szCs w:val="20"/>
        </w:rPr>
      </w:pPr>
      <w:bookmarkStart w:colFirst="0" w:colLast="0" w:name="_erlosqkrmu47" w:id="18"/>
      <w:bookmarkEnd w:id="18"/>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代表者：____________________________</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