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77o2o44kip6c" w:id="0"/>
      <w:bookmarkEnd w:id="0"/>
      <w:r w:rsidDel="00000000" w:rsidR="00000000" w:rsidRPr="00000000">
        <w:rPr>
          <w:rFonts w:ascii="Arial Unicode MS" w:cs="Arial Unicode MS" w:eastAsia="Arial Unicode MS" w:hAnsi="Arial Unicode MS"/>
          <w:b w:val="1"/>
          <w:bCs w:val="1"/>
          <w:sz w:val="44"/>
          <w:szCs w:val="44"/>
          <w:rtl w:val="0"/>
        </w:rPr>
        <w:t xml:space="preserve">海外興行開催覚書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本覚書は、日本国内の主催者と海外において興行を実施する関係当事者との間で、海外興行の開催条件、役割分担および責任範囲等を明確にすることを目的として締結されるものである。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s9g69e126ob3"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および乙が協力して海外における興行（以下「本興行」という。）を円滑かつ安全に開催するため、本興行の企画、準備、実施および終了後の対応に関する基本的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1iaawcpr7zdj"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本覚書において使用する用語の定義は、以下のとおりとする。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興行とは、音楽公演、舞台、スポーツイベント、展示会その他の観客を対象とした催事をいう。</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開催地とは、本興行が実施される海外の国または地域をいう。</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関係法令とは、開催地の法令、規制、行政指導および業界慣行を含むものをいう。</w:t>
      </w:r>
    </w:p>
    <w:p w:rsidR="00000000" w:rsidDel="00000000" w:rsidP="00000000" w:rsidRDefault="00000000" w:rsidRPr="00000000" w14:paraId="0000000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rip5foojaxha"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第3条（役割分担）</w:t>
      </w:r>
    </w:p>
    <w:p w:rsidR="00000000" w:rsidDel="00000000" w:rsidP="00000000" w:rsidRDefault="00000000" w:rsidRPr="00000000" w14:paraId="0000000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甲は、本興行の全体企画、出演者または参加者の手配、コンテンツ内容の管理および日本側関係者との調整を担当する。</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乙は、開催地における会場手配、現地スタッフの確保、行政手続、許認可取得および現地運営全般を担当する。</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甲および乙は、相互に協力し、本興行の成功に向け誠実に業務を遂行するものとする。</w:t>
      </w:r>
    </w:p>
    <w:p w:rsidR="00000000" w:rsidDel="00000000" w:rsidP="00000000" w:rsidRDefault="00000000" w:rsidRPr="00000000" w14:paraId="0000001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bykjsh5q619s"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第4条（費用負担）</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本興行に要する費用の内訳および負担割合は、別途協議のうえ書面により定めるものとする。</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為替変動、税制変更その他予測不能な事情により費用が増加した場合、甲乙は誠意をもって協議し対応を決定する。</w:t>
      </w:r>
    </w:p>
    <w:p w:rsidR="00000000" w:rsidDel="00000000" w:rsidP="00000000" w:rsidRDefault="00000000" w:rsidRPr="00000000" w14:paraId="0000001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5h240qofk60u"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第5条（法令遵守）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甲および乙は、本興行の実施にあたり、開催地の関係法令および行政機関の指示を遵守しなければならない。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swyk31b4g7kn"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第6条（ビザ・渡航手続）</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出演者、スタッフその他関係者に必要なビザ、労働許可、渡航書類については、役割分担に応じて甲または乙が手配し、相互に協力するものとする。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c7s1pudy9b7v"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第7条（安全管理・事故対応）</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乙は、開催地における安全管理体制を整備し、事故防止に最大限配慮するものとする。</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本興行中に事故、疾病、災害その他の緊急事態が発生した場合、甲乙は速やかに連携し、被害拡大防止および関係者対応にあたる。</w:t>
      </w:r>
    </w:p>
    <w:p w:rsidR="00000000" w:rsidDel="00000000" w:rsidP="00000000" w:rsidRDefault="00000000" w:rsidRPr="00000000" w14:paraId="0000002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7yi01k93aawa"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第8条（保険）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本興行に関連して必要となる興行保険、賠償責任保険等については、甲乙協議のうえ加入内容および負担者を定めるものとする。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8q23vwmck5h2"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第9条（知的財産権）</w:t>
      </w:r>
    </w:p>
    <w:p w:rsidR="00000000" w:rsidDel="00000000" w:rsidP="00000000" w:rsidRDefault="00000000" w:rsidRPr="00000000" w14:paraId="0000002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本興行に関連して使用される著作物、商標、肖像等の知的財産権は、原則として正当な権利者に帰属する。</w:t>
      </w:r>
    </w:p>
    <w:p w:rsidR="00000000" w:rsidDel="00000000" w:rsidP="00000000" w:rsidRDefault="00000000" w:rsidRPr="00000000" w14:paraId="0000002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甲および乙は、権利侵害が生じないよう十分に注意しなければならない。</w:t>
      </w:r>
    </w:p>
    <w:p w:rsidR="00000000" w:rsidDel="00000000" w:rsidP="00000000" w:rsidRDefault="00000000" w:rsidRPr="00000000" w14:paraId="0000002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hrfn5kac02ob"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本覚書の内容および本興行に関連して知り得た相手方の非公開情報について、第三者に開示または漏えいしてはならない。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2zoaetg7i9tv"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第11条（不可抗力）</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天災地変、戦争、テロ、感染症拡大、政府の規制その他当事者の合理的支配を超える事由により本興行の全部または一部が実施できない場合、甲乙は互いに責任を負わないものとする。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t7e6l5srrri8"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第12条（中止・変更）</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本興行を中止または内容変更する場合の判断基準および対応については、甲乙協議のうえ決定するものとする。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94kxmexi2xp2"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本覚書の有効期間は、締結日から本興行終了後の精算および必要な後処理が完了するまでとする。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u4de6b5so19k"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本覚書に定めのない事項または解釈に疑義が生じた場合、甲乙は誠意をもって協議し解決を図るものとする。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9o1rz3vturxc"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第15条（準拠法・管轄）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本覚書は日本法を準拠法とし、本覚書に関して生じる紛争については、甲の本店所在地を管轄する日本の裁判所を第一審の専属的合意管轄裁判所とする。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本覚書締結の証として、本書を作成し、甲乙各自記名押印のうえ、各1通を保有する。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