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保証対象外事項確認書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に対して実施するガラス修理、交換、取付けその他これらに付随する工事（以下「本工事」という。）について、保証の対象とならない事項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本確認書は、本工事完了後の保証について、その対象範囲および保証対象外となる事項をあらかじめ明確にし、甲乙間の認識の相違および紛争を防止することを目的とする。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本確認書の対象となる本工事の内容は、次のとおりとする。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6.038396501956"/>
        <w:gridCol w:w="7449.473414521667"/>
        <w:tblGridChange w:id="0">
          <w:tblGrid>
            <w:gridCol w:w="1576.038396501956"/>
            <w:gridCol w:w="7449.47341452166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取付け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ガラス種類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施工日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第3条（保証の対象）</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乙は、本工事について、別途定める保証期間内に乙の施工上の不備に起因する不具合が発生した場合、乙が保証対象と認めたものについて、修補その他合理的に必要な対応を行う。</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保証の具体的な内容、期間および条件について、見積書、注文書、工事契約書、保証書その他甲乙間で合意した書面がある場合は、その定めに従う。</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製品または部材自体にメーカー保証が適用される場合は、当該メーカーが定める保証条件および保証範囲に従うものとする。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第4条（保証対象外事項）</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甲は、次の各号に該当する不具合、破損、損傷その他の事象については、乙による保証の対象外となることを確認する。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地震、台風、強風、豪雨、洪水、落雷、降雪、雹その他の天災または不可抗力によって生じた破損または不具合</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火災、爆発、事故、飛来物、落下物、衝突その他乙の責めに帰することのできない外的要因による破損</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甲、建物利用者、第三者その他乙以外の者による故意または過失により生じた破損または不具合</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ガラスへの衝撃、物品の接触、家具等の衝突その他通常の使用方法を超える負荷によって生じた破損</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ガラスまたはその周辺部分に対する甲または第三者による加工、改造、修理、分解等に起因する不具合</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既存のサッシ、枠、建具、シーリング材、金物その他本工事の対象外となる既存部分の劣化または不具合に起因するもの</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建物の経年劣化、変形、傾き、振動、構造上の問題その他建物自体の状態に起因するもの</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結露、湿気、温度差その他施工不良によらない使用環境または自然現象に起因するもの</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ガラスの熱割れその他温度変化、日射、暖房器具、家具・カーテン等の配置その他使用環境の影響により発生した破損。ただし、乙の施工上の不備に起因する場合を除く。</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甲が乙から説明を受けた使用上または管理上の注意事項に反したことにより生じた不具合</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 乙の承諾なく第三者が修理、交換、加工その他の作業を行った箇所に生じた不具合</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 本工事の施工箇所以外に発生した破損、不具合または損害</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(13) 通常の使用による摩耗、消耗、変色、退色その他の経年変化</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(14) ガラスまたは部材の性能上許容される範囲内の外観上の差異その他メーカーの品質基準上、製品不良に該当しないもの</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(15) その他、乙の施工上の不備との因果関係が認められない事象</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第5条（既存部分に関する取扱い）</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本工事において既存のサッシ、枠、建具、金物その他の部材を継続して使用する場合、乙は、本工事の施工対象となる部分を除き、当該既存部分の性能、耐久性その他の状態を保証するものではない。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本工事後に既存部分の経年劣化その他乙の施工に起因しない原因による不具合が発生した場合は、原則として保証対象外とする。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施工時に通常の確認では発見することが困難な既存部分内部の腐食、劣化、変形その他の不具合が判明した場合は、甲乙協議の上、必要な対応を決定する。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第6条（ガラス特有の現象）</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甲は、ガラスの種類、設置環境および使用状況によって、反射像のゆがみ、色調の差異、光の干渉、結露その他ガラスの性質に起因する現象が生じる場合があることを確認する。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前項の現象が製品または施工の不良に該当しない場合は、保証の対象外とする。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複層ガラス、Low-Eガラス、合わせガラス、強化ガラスその他特殊なガラスについては、メーカーが定める品質基準および保証条件がある場合、これを考慮して保証対象の有無を判断する。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第7条（保証請求）</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甲は、本工事完了後に保証対象となる可能性のある不具合を発見した場合、速やかに乙へ連絡するものとする。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乙は、必要に応じて現地確認を行い、不具合の状況、発生原因、施工との因果関係その他必要な事項を確認する。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調査の結果、保証対象外であることが判明した場合、修理、交換、出張、調査その他の対応に必要となる費用については、事前に甲乙間で協議の上、甲の負担とすることができる。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第8条（メーカー保証）</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本工事に使用するガラス、部材その他の製品についてメーカー保証が付されている場合、その保証については各メーカーの保証条件に従う。</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メーカーによる調査の結果、製品不良に該当しないと判断された場合、原則としてメーカー保証の対象外となる。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メーカー保証と乙による施工保証はそれぞれ独立したものであり、その保証範囲が異なる場合があることを甲は確認する。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第9条（有償対応）</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保証対象外となる不具合について甲が乙に修理、交換その他の対応を依頼する場合、乙は別途見積りを提示し、甲乙が合意した条件に基づき有償で対応することができる。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第10条（協議事項）</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本確認書に定めのない事項または本確認書の内容について疑義が生じた場合は、甲乙が誠意をもって協議し、その解決を図るものとする。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第11条（確認および同意）</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甲は、本工事に関する保証内容および保証対象外事項について乙から必要な説明を受け、その内容を理解した上で、本確認書の内容を確認し、同意する。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成立を証するため、本書を2通作成し、甲乙が署名または記名押印の上、各1通を保有する。なお、電磁的方法により本確認書を作成する場合は、各当事者が電子署名その他これに準ずる方法により確認し、その電磁的記録を保管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