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5itnmduwvksv" w:id="0"/>
      <w:bookmarkEnd w:id="0"/>
      <w:r w:rsidDel="00000000" w:rsidR="00000000" w:rsidRPr="00000000">
        <w:rPr>
          <w:rFonts w:ascii="Arial Unicode MS" w:cs="Arial Unicode MS" w:eastAsia="Arial Unicode MS" w:hAnsi="Arial Unicode MS"/>
          <w:b w:val="1"/>
          <w:bCs w:val="1"/>
          <w:sz w:val="44"/>
          <w:szCs w:val="44"/>
          <w:rtl w:val="0"/>
        </w:rPr>
        <w:t xml:space="preserve">合併契約書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●●株式会社（以下「甲」という。）と、●●株式会社（以下「乙」という。）とは、会社法その他の関係法令に基づき、次のとおり合併契約（以下「本契約」という。）を締結する。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9vfef8bztwf"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第1条（合併の方法）</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甲および乙は、甲を存続会社、乙を消滅会社とする吸収合併（以下「本合併」という。）の方法により合併する。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ryew7r5f3us"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第2条（存続会社および消滅会社）</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本合併における存続会社は甲とし、消滅会社は乙とする。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ahr3pcsd4aq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第3条（合併の効力発生日）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本合併の効力発生日（以下「効力発生日」という。）は、●●年●月●日とする。</w:t>
        <w:br w:type="textWrapping"/>
        <w:t xml:space="preserve">ただし、合併手続の進行状況その他の事情により、甲乙協議のうえ、これを変更することができる。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2okx6xajq5do"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第4条（権利義務の承継）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乙は、効力発生日をもって、その有する一切の資産、負債、契約上の地位およびその他の権利義務を、法律の定めるところに従い、甲に包括的に承継させるものとする。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uutj4s96pam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第5条（合併対価）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甲は、本合併の対価として、効力発生日において、乙の株主に対し、次の内容に従い交付を行う。</w:t>
        <w:br w:type="textWrapping"/>
        <w:t xml:space="preserve">１　金銭による交付</w:t>
        <w:br w:type="textWrapping"/>
        <w:t xml:space="preserve">２　甲の株式による交付</w:t>
        <w:br w:type="textWrapping"/>
        <w:t xml:space="preserve">３　前各号の組み合わせ</w:t>
        <w:br w:type="textWrapping"/>
        <w:t xml:space="preserve">※具体的な内容は、別途甲乙協議のうえ定めるものとする。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jvej649uuxs"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第6条（資本金および準備金）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本合併に際して増加する甲の資本金および資本準備金の額は、会社法その他の関係法令に従い、甲が別途定めるものとする。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12u8rbhqguae"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第7条（合併承認）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甲および乙は、本契約について、それぞれの株主総会その他法令上必要な機関の承認を、効力発生日までに取得するものとする。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71t7h138cbqt"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第8条（善管注意義務）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甲および乙は、本契約締結日から効力発生日までの間、善良なる管理者の注意をもって、それぞれの業務を遂行し、本合併の実行に重大な影響を及ぼす行為を行わないものとする。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xzoci5bf9w1s"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第9条（競業避止）</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乙は、効力発生日後、甲の事業と競合する事業を、甲の書面による事前承諾なく行わないものとする。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1e6fjkr28qln"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第10条（従業員の取扱い）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乙の従業員の取扱いについては、労働関係法令を遵守のうえ、甲乙協議し、誠意をもって対応するものとする。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sq16e3b2xysy"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第11条（条件変更および解除）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後、天災地変、法令改正、その他甲乙の責に帰すことのできない事由により、本合併の実行が困難となった場合には、甲乙協議のうえ、本契約の内容を変更し、または本契約の全部もしく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uz7rv8sinuv"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本契約に定めのない事項、または本契約の解釈について疑義が生じた場合には、甲乙誠意をもって協議し、円満に解決するものとする。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mbqxvor4kz1p"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