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2q87578xp1" w:id="0"/>
      <w:bookmarkEnd w:id="0"/>
      <w:r w:rsidDel="00000000" w:rsidR="00000000" w:rsidRPr="00000000">
        <w:rPr>
          <w:rFonts w:ascii="Arial Unicode MS" w:cs="Arial Unicode MS" w:eastAsia="Arial Unicode MS" w:hAnsi="Arial Unicode MS"/>
          <w:b w:val="1"/>
          <w:bCs w:val="1"/>
          <w:sz w:val="44"/>
          <w:szCs w:val="44"/>
          <w:rtl w:val="0"/>
        </w:rPr>
        <w:t xml:space="preserve">年末調整代行業務委託契約書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行う年末調整関連業務の一部を乙に委託することについて、次のとおり年末調整代行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wiav8r3e82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本契約は、甲が従業員に対して実施すべき年末調整業務のうち、法令に基づく書類作成・確認等の事務作業を乙に委託し、その業務内容および責任関係を明確にすることを目的とする。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vakmf7y3g0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甲が乙に委託する業務（以下「本業務」という。）は、次に掲げる業務とする。</w:t>
        <w:br w:type="textWrapping"/>
        <w:t xml:space="preserve">(1) 年末調整に必要な各種申告書の内容確認</w:t>
        <w:br w:type="textWrapping"/>
        <w:t xml:space="preserve">(2) 扶養控除、保険料控除等の計算補助</w:t>
        <w:br w:type="textWrapping"/>
        <w:t xml:space="preserve">(3) 源泉徴収票作成に必要な数値の算出補助</w:t>
        <w:br w:type="textWrapping"/>
        <w:t xml:space="preserve">(4) その他、前各号に付随する事務作業</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本業務の範囲に、税務相談、税務判断、税務代理行為は含まれないものとする。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r7wt8rcflzp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第3条（業務遂行方法）</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乙は、関係法令および甲の指定する業務手順を遵守し、善良な管理者の注意をもって本業務を遂行するものとする。</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乙は、本業務の遂行にあたり、甲から提供された資料および情報を基に業務を行い、その正確性について合理的な範囲で確認を行うものとする。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4do2n1cj5nv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甲は、乙に対し、本業務の対価として、別途協議のうえ定める金額を支払うものとする。</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報酬の支払方法および支払期日は、甲乙協議のうえ書面または電磁的方法により定めるものとする。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rcm6bxd98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第5条（資料提供および協力義務）</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甲は、本業務の遂行に必要な資料および情報を、適切かつ正確に乙へ提供するものとする。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甲が提供した資料に誤りや不足があったことにより生じた結果について、乙は責任を負わないものとする。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h9xg07dngl8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乙は、本業務に関連して知り得た甲および甲の従業員に関する情報を、第三者に開示または漏えいしてはならない。</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219x66jpcy1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乙は、本業務に関連して取り扱う個人情報について、個人情報保護法および関係法令を遵守し、適切に管理するものとする。</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qq6k6lbs4lt"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第8条（再委託の禁止）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乙は、甲の事前の書面承諾なく、本業務の全部または一部を第三者に再委託してはならない。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3pbb5xstu1o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甲または乙は、本契約に違反し、相手方に損害を与えた場合、自己の責めに帰すべき範囲において、その損害を賠償する責任を負うものとする。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cj7siaph5m3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w86460s1ydo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甲または乙は、相手方が本契約に違反し、相当期間を定めて是正を求めたにもかかわらず当該違反が是正されない場合、本契約の全部または一部を解除することができる。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d5yspt3yn9h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84k3j9hy823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