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reskko53z4l4" w:id="0"/>
      <w:bookmarkEnd w:id="0"/>
      <w:r w:rsidDel="00000000" w:rsidR="00000000" w:rsidRPr="00000000">
        <w:rPr>
          <w:rFonts w:ascii="Arial Unicode MS" w:cs="Arial Unicode MS" w:eastAsia="Arial Unicode MS" w:hAnsi="Arial Unicode MS"/>
          <w:b w:val="1"/>
          <w:bCs w:val="1"/>
          <w:sz w:val="44"/>
          <w:szCs w:val="44"/>
          <w:rtl w:val="0"/>
        </w:rPr>
        <w:t xml:space="preserve">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●●株式会社（以下「甲」という。）と、●●（以下「乙」という。）は、甲の事業運営に関する助言等について、次のとおり顧問契約（以下「本契約」という。）を締結する。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kohjopg7c9vs"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本契約は、甲がその経営、業務運営、事業戦略等に関して、乙から専門的知見に基づく助言・指導を受けることを目的として、両当事者の権利義務関係を定めるものである。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xbroi3pa2im"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第2条（顧問業務の内容）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乙は、甲に対し、次の各号に掲げる業務（以下「顧問業務」という。）を行うものとする。</w:t>
        <w:br w:type="textWrapping"/>
        <w:t xml:space="preserve">(1) 経営、事業運営、業務改善等に関する助言</w:t>
        <w:br w:type="textWrapping"/>
        <w:t xml:space="preserve">(2) 甲からの相談事項に対する意見提供</w:t>
        <w:br w:type="textWrapping"/>
        <w:t xml:space="preserve">(3) その他、前各号に付随又は関連する業務で、甲乙協議のうえ合意したもの</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顧問業務は、乙が善良なる管理者の注意をもって遂行するものとし、特定の成果又は結果の達成を保証するものではない。</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pxz3kc9zyu1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第3条（業務形態）</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顧問業務は、原則として、面談、電話、電子メール、オンライン会議その他合理的な方法により行うものとする。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乙は、甲の業務執行権限を有するものではなく、甲の意思決定はすべて甲自身の責任において行うものとする。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knyoj2vf5igs"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甲は、乙に対し、顧問業務の対価として、別途合意した金額の顧問料を支払うものとする。</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顧問料の支払方法、支払期日等の詳細は、甲乙協議のうえ別途定めるものとする。</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顧問業務の遂行に必要となる交通費その他の実費については、事前に甲が承認したものに限り、甲が負担する。</w:t>
      </w:r>
    </w:p>
    <w:p w:rsidR="00000000" w:rsidDel="00000000" w:rsidP="00000000" w:rsidRDefault="00000000" w:rsidRPr="00000000" w14:paraId="0000001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i3n8blam7lwq"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第5条（契約期間）</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期間満了日の1か月前までに、甲乙いずれからも書面による解約の意思表示がない場合、本契約は同一条件にてさらに●年間更新されるものとする。</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5b8gxgfja57x"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第6条（秘密保持）</w:t>
      </w:r>
    </w:p>
    <w:p w:rsidR="00000000" w:rsidDel="00000000" w:rsidP="00000000" w:rsidRDefault="00000000" w:rsidRPr="00000000" w14:paraId="0000001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甲及び乙は、本契約に関連して知り得た相手方の営業上、技術上その他一切の非公開情報を、第三者に開示又は漏えいしてはならない。</w:t>
      </w:r>
    </w:p>
    <w:p w:rsidR="00000000" w:rsidDel="00000000" w:rsidP="00000000" w:rsidRDefault="00000000" w:rsidRPr="00000000" w14:paraId="0000001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前項の義務は、本契約終了後も有効に存続するものとする。</w:t>
      </w:r>
    </w:p>
    <w:p w:rsidR="00000000" w:rsidDel="00000000" w:rsidP="00000000" w:rsidRDefault="00000000" w:rsidRPr="00000000" w14:paraId="0000001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n5ksuglz95g3"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顧問業務に関連して作成された資料、助言内容等に関する知的財産権の帰属については、甲乙協議のうえ別途定めるものとする。</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本契約に基づく顧問業務の実施により、乙に対して甲の知的財産権が移転又は許諾されるものではない。</w:t>
      </w:r>
    </w:p>
    <w:p w:rsidR="00000000" w:rsidDel="00000000" w:rsidP="00000000" w:rsidRDefault="00000000" w:rsidRPr="00000000" w14:paraId="0000002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cf9gwrlkghwl"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第8条（競業避止）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乙は、本契約期間中、甲の事前の書面による承諾なく、甲と直接競合する事業に関与しないものとする。ただし、乙が本契約締結以前から関与している業務については、この限りではない。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yc7l48ee2xuh"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2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甲又は乙は、相手方が本契約に違反し、相当期間を定めて是正を求めてもなお当該違反が是正されない場合、書面による通知をもって本契約の全部又は一部を解除することができる。</w:t>
      </w:r>
    </w:p>
    <w:p w:rsidR="00000000" w:rsidDel="00000000" w:rsidP="00000000" w:rsidRDefault="00000000" w:rsidRPr="00000000" w14:paraId="0000002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やむを得ない事由がある場合、甲乙は、協議のうえ、本契約を中途解約することができる。</w:t>
      </w:r>
    </w:p>
    <w:p w:rsidR="00000000" w:rsidDel="00000000" w:rsidP="00000000" w:rsidRDefault="00000000" w:rsidRPr="00000000" w14:paraId="00000027">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b6l4945h7fxk"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本契約に関連して、甲又は乙に損害が生じた場合、その責任は、当該損害が自己の故意又は重過失によって生じた場合に限り、負うものとする。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93pxuzgpqg25"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第11条（責任の範囲）</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乙は、顧問業務に基づく助言内容について、法的、税務的その他専門家による判断が必要な事項については、最終的な判断を甲自身が行うことを確認する。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44d60pknbig2"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9zeq8jfflien"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第13条（準拠法及び管轄）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